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B5" w:rsidRDefault="00417AB5" w:rsidP="00065BFB">
      <w:pPr>
        <w:ind w:left="720" w:hanging="360"/>
      </w:pPr>
    </w:p>
    <w:p w:rsidR="00417AB5" w:rsidRDefault="004248DA" w:rsidP="004248DA">
      <w:pPr>
        <w:jc w:val="center"/>
        <w:rPr>
          <w:sz w:val="36"/>
          <w:szCs w:val="36"/>
        </w:rPr>
      </w:pPr>
      <w:r w:rsidRPr="00F870E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495550" cy="139018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90" cy="14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DA" w:rsidRDefault="004248DA" w:rsidP="004248DA">
      <w:pPr>
        <w:rPr>
          <w:sz w:val="36"/>
          <w:szCs w:val="36"/>
        </w:rPr>
      </w:pPr>
      <w:r>
        <w:rPr>
          <w:sz w:val="36"/>
          <w:szCs w:val="36"/>
        </w:rPr>
        <w:t xml:space="preserve">Ai </w:t>
      </w:r>
      <w:r w:rsidR="002B3A42">
        <w:rPr>
          <w:sz w:val="36"/>
          <w:szCs w:val="36"/>
        </w:rPr>
        <w:t>D</w:t>
      </w:r>
      <w:r>
        <w:rPr>
          <w:sz w:val="36"/>
          <w:szCs w:val="36"/>
        </w:rPr>
        <w:t>ocenti e ai Dirigenti Scolastici delle scuole di ogni ordine e grado</w:t>
      </w:r>
    </w:p>
    <w:p w:rsidR="004248DA" w:rsidRDefault="004248DA" w:rsidP="004248DA">
      <w:pPr>
        <w:rPr>
          <w:sz w:val="36"/>
          <w:szCs w:val="36"/>
        </w:rPr>
      </w:pPr>
      <w:r>
        <w:rPr>
          <w:sz w:val="36"/>
          <w:szCs w:val="36"/>
        </w:rPr>
        <w:t xml:space="preserve">Ai genitori degli alunni </w:t>
      </w:r>
      <w:r w:rsidR="005A7184">
        <w:rPr>
          <w:sz w:val="36"/>
          <w:szCs w:val="36"/>
        </w:rPr>
        <w:t xml:space="preserve">e ai loro rappresentanti negli organi collegiali </w:t>
      </w:r>
    </w:p>
    <w:p w:rsidR="00916462" w:rsidRPr="00ED154A" w:rsidRDefault="004248DA" w:rsidP="00916462">
      <w:pPr>
        <w:rPr>
          <w:color w:val="000000" w:themeColor="text1"/>
          <w:sz w:val="36"/>
          <w:szCs w:val="36"/>
        </w:rPr>
      </w:pPr>
      <w:r w:rsidRPr="00ED154A">
        <w:rPr>
          <w:color w:val="000000" w:themeColor="text1"/>
          <w:sz w:val="36"/>
          <w:szCs w:val="36"/>
        </w:rPr>
        <w:t>Il Tavolo interassociativo</w:t>
      </w:r>
      <w:r w:rsidR="003701F9">
        <w:rPr>
          <w:color w:val="000000" w:themeColor="text1"/>
          <w:sz w:val="36"/>
          <w:szCs w:val="36"/>
        </w:rPr>
        <w:t xml:space="preserve"> </w:t>
      </w:r>
      <w:proofErr w:type="spellStart"/>
      <w:r w:rsidRPr="00ED154A">
        <w:rPr>
          <w:color w:val="000000" w:themeColor="text1"/>
          <w:sz w:val="36"/>
          <w:szCs w:val="36"/>
        </w:rPr>
        <w:t>SaltaMuri</w:t>
      </w:r>
      <w:proofErr w:type="spellEnd"/>
      <w:r w:rsidRPr="00ED154A">
        <w:rPr>
          <w:color w:val="000000" w:themeColor="text1"/>
          <w:sz w:val="36"/>
          <w:szCs w:val="36"/>
        </w:rPr>
        <w:t xml:space="preserve"> che raccoglie oltre 130 associazioni e organizzazioni espressione della società civile</w:t>
      </w:r>
      <w:r w:rsidR="002B3A42" w:rsidRPr="00ED154A">
        <w:rPr>
          <w:color w:val="000000" w:themeColor="text1"/>
          <w:sz w:val="36"/>
          <w:szCs w:val="36"/>
        </w:rPr>
        <w:t xml:space="preserve">, </w:t>
      </w:r>
      <w:r w:rsidRPr="00ED154A">
        <w:rPr>
          <w:color w:val="000000" w:themeColor="text1"/>
          <w:sz w:val="36"/>
          <w:szCs w:val="36"/>
        </w:rPr>
        <w:t>si  rivolge al mondo dell’educazione in un momento delicato per la scuola che</w:t>
      </w:r>
      <w:r w:rsidR="002B3A42" w:rsidRPr="00ED154A">
        <w:rPr>
          <w:color w:val="000000" w:themeColor="text1"/>
          <w:sz w:val="36"/>
          <w:szCs w:val="36"/>
        </w:rPr>
        <w:t xml:space="preserve"> riteniamo</w:t>
      </w:r>
      <w:r w:rsidRPr="00ED154A">
        <w:rPr>
          <w:color w:val="000000" w:themeColor="text1"/>
          <w:sz w:val="36"/>
          <w:szCs w:val="36"/>
        </w:rPr>
        <w:t xml:space="preserve"> va</w:t>
      </w:r>
      <w:r w:rsidR="002B3A42" w:rsidRPr="00ED154A">
        <w:rPr>
          <w:color w:val="000000" w:themeColor="text1"/>
          <w:sz w:val="36"/>
          <w:szCs w:val="36"/>
        </w:rPr>
        <w:t>da</w:t>
      </w:r>
      <w:r w:rsidRPr="00ED154A">
        <w:rPr>
          <w:color w:val="000000" w:themeColor="text1"/>
          <w:sz w:val="36"/>
          <w:szCs w:val="36"/>
        </w:rPr>
        <w:t xml:space="preserve"> affrontato con spirito di collaborazione e apertura di possibilità. </w:t>
      </w:r>
    </w:p>
    <w:p w:rsidR="00916462" w:rsidRPr="00ED154A" w:rsidRDefault="00916462" w:rsidP="00916462">
      <w:pPr>
        <w:rPr>
          <w:color w:val="000000" w:themeColor="text1"/>
          <w:sz w:val="36"/>
          <w:szCs w:val="36"/>
        </w:rPr>
      </w:pPr>
      <w:r w:rsidRPr="00ED154A">
        <w:rPr>
          <w:color w:val="000000" w:themeColor="text1"/>
          <w:sz w:val="36"/>
          <w:szCs w:val="36"/>
        </w:rPr>
        <w:t xml:space="preserve">La scuola costituisce un indispensabile presidio di democrazia e partecipazione, di </w:t>
      </w:r>
      <w:r w:rsidR="005C2521" w:rsidRPr="00ED154A">
        <w:rPr>
          <w:color w:val="000000" w:themeColor="text1"/>
          <w:sz w:val="36"/>
          <w:szCs w:val="36"/>
        </w:rPr>
        <w:t>attenuazione de</w:t>
      </w:r>
      <w:r w:rsidRPr="00ED154A">
        <w:rPr>
          <w:color w:val="000000" w:themeColor="text1"/>
          <w:sz w:val="36"/>
          <w:szCs w:val="36"/>
        </w:rPr>
        <w:t xml:space="preserve">lle disuguaglianze, e non va lasciata sola nella sua funzione inclusiva e riparatrice delle diversità. </w:t>
      </w:r>
    </w:p>
    <w:p w:rsidR="00916462" w:rsidRPr="00ED154A" w:rsidRDefault="00916462" w:rsidP="00916462">
      <w:pPr>
        <w:rPr>
          <w:color w:val="000000" w:themeColor="text1"/>
          <w:sz w:val="36"/>
          <w:szCs w:val="36"/>
        </w:rPr>
      </w:pPr>
      <w:r w:rsidRPr="00ED154A">
        <w:rPr>
          <w:color w:val="000000" w:themeColor="text1"/>
          <w:sz w:val="36"/>
          <w:szCs w:val="36"/>
        </w:rPr>
        <w:t xml:space="preserve">Il Tavolo si propone di operare per il contrasto alla povertà </w:t>
      </w:r>
      <w:r w:rsidR="005C2521" w:rsidRPr="00ED154A">
        <w:rPr>
          <w:color w:val="000000" w:themeColor="text1"/>
          <w:sz w:val="36"/>
          <w:szCs w:val="36"/>
        </w:rPr>
        <w:t>educativa</w:t>
      </w:r>
      <w:r w:rsidRPr="00ED154A">
        <w:rPr>
          <w:color w:val="000000" w:themeColor="text1"/>
          <w:sz w:val="36"/>
          <w:szCs w:val="36"/>
        </w:rPr>
        <w:t>, alle discriminazioni, alla diffusione di stereotipi, per il superamento dei muri fisici e mentali</w:t>
      </w:r>
      <w:r w:rsidR="002B3A42" w:rsidRPr="00ED154A">
        <w:rPr>
          <w:color w:val="000000" w:themeColor="text1"/>
          <w:sz w:val="36"/>
          <w:szCs w:val="36"/>
        </w:rPr>
        <w:t>, per questo vi proponiamo</w:t>
      </w:r>
      <w:r w:rsidR="00DB18A3" w:rsidRPr="00ED154A">
        <w:rPr>
          <w:color w:val="000000" w:themeColor="text1"/>
          <w:sz w:val="36"/>
          <w:szCs w:val="36"/>
        </w:rPr>
        <w:t xml:space="preserve"> un Vademecum</w:t>
      </w:r>
      <w:r w:rsidRPr="00ED154A">
        <w:rPr>
          <w:color w:val="000000" w:themeColor="text1"/>
          <w:sz w:val="36"/>
          <w:szCs w:val="36"/>
        </w:rPr>
        <w:t xml:space="preserve"> per una comunità inclusiva</w:t>
      </w:r>
      <w:r w:rsidR="00DB18A3" w:rsidRPr="00ED154A">
        <w:rPr>
          <w:color w:val="000000" w:themeColor="text1"/>
          <w:sz w:val="36"/>
          <w:szCs w:val="36"/>
        </w:rPr>
        <w:t xml:space="preserve"> che supporti gli attori delle iscrizioni a muoversi in un contesto normativo di tutela degli alunni e degli studenti (</w:t>
      </w:r>
      <w:hyperlink r:id="rId6" w:history="1">
        <w:r w:rsidR="00B14560" w:rsidRPr="00ED154A">
          <w:rPr>
            <w:rStyle w:val="Collegamentoipertestuale"/>
            <w:color w:val="000000" w:themeColor="text1"/>
            <w:sz w:val="36"/>
            <w:szCs w:val="36"/>
          </w:rPr>
          <w:t>www.saltamuri.it</w:t>
        </w:r>
      </w:hyperlink>
      <w:r w:rsidRPr="00ED154A">
        <w:rPr>
          <w:color w:val="000000" w:themeColor="text1"/>
          <w:sz w:val="36"/>
          <w:szCs w:val="36"/>
        </w:rPr>
        <w:t>).</w:t>
      </w:r>
    </w:p>
    <w:p w:rsidR="00CB037C" w:rsidRPr="00ED154A" w:rsidRDefault="001D3635" w:rsidP="00916462">
      <w:pPr>
        <w:rPr>
          <w:color w:val="000000" w:themeColor="text1"/>
          <w:sz w:val="36"/>
          <w:szCs w:val="36"/>
        </w:rPr>
      </w:pPr>
      <w:r w:rsidRPr="00ED154A">
        <w:rPr>
          <w:color w:val="000000" w:themeColor="text1"/>
          <w:sz w:val="36"/>
          <w:szCs w:val="36"/>
        </w:rPr>
        <w:t>I</w:t>
      </w:r>
      <w:r w:rsidR="005C2521" w:rsidRPr="00ED154A">
        <w:rPr>
          <w:color w:val="000000" w:themeColor="text1"/>
          <w:sz w:val="36"/>
          <w:szCs w:val="36"/>
        </w:rPr>
        <w:t xml:space="preserve">l Tavolo offre la propria disponibilitàalla consultazione e alla collaborazione </w:t>
      </w:r>
      <w:r w:rsidR="00CB037C" w:rsidRPr="00ED154A">
        <w:rPr>
          <w:color w:val="000000" w:themeColor="text1"/>
          <w:sz w:val="36"/>
          <w:szCs w:val="36"/>
        </w:rPr>
        <w:t xml:space="preserve">per una risposta coerente e omogenea facendo del dialogo, della progettazione, dell’analisi dei bisogni, della </w:t>
      </w:r>
      <w:r w:rsidR="00CB037C" w:rsidRPr="00ED154A">
        <w:rPr>
          <w:color w:val="000000" w:themeColor="text1"/>
          <w:sz w:val="36"/>
          <w:szCs w:val="36"/>
        </w:rPr>
        <w:lastRenderedPageBreak/>
        <w:t>ricerca di risposte una strategia comune nel rispetto delle reciproche competenze</w:t>
      </w:r>
    </w:p>
    <w:p w:rsidR="00916462" w:rsidRDefault="0071445F" w:rsidP="00916462">
      <w:pPr>
        <w:rPr>
          <w:sz w:val="36"/>
          <w:szCs w:val="36"/>
        </w:rPr>
      </w:pPr>
      <w:r>
        <w:rPr>
          <w:sz w:val="36"/>
          <w:szCs w:val="36"/>
        </w:rPr>
        <w:t>Il recente</w:t>
      </w:r>
      <w:r w:rsidR="00D55C9B">
        <w:rPr>
          <w:sz w:val="36"/>
          <w:szCs w:val="36"/>
        </w:rPr>
        <w:t xml:space="preserve"> rapporto </w:t>
      </w:r>
      <w:r w:rsidR="004248DA">
        <w:rPr>
          <w:sz w:val="36"/>
          <w:szCs w:val="36"/>
        </w:rPr>
        <w:t>Ipsos</w:t>
      </w:r>
      <w:r w:rsidR="00CB037C">
        <w:rPr>
          <w:sz w:val="36"/>
          <w:szCs w:val="36"/>
        </w:rPr>
        <w:t xml:space="preserve"> sull’indagine ‘I giovani al tempo del coronavirus’ </w:t>
      </w:r>
      <w:r w:rsidR="004248DA">
        <w:rPr>
          <w:sz w:val="36"/>
          <w:szCs w:val="36"/>
        </w:rPr>
        <w:t xml:space="preserve"> commissionat</w:t>
      </w:r>
      <w:r w:rsidR="00CB037C">
        <w:rPr>
          <w:sz w:val="36"/>
          <w:szCs w:val="36"/>
        </w:rPr>
        <w:t>a</w:t>
      </w:r>
      <w:r w:rsidR="004248DA">
        <w:rPr>
          <w:sz w:val="36"/>
          <w:szCs w:val="36"/>
        </w:rPr>
        <w:t xml:space="preserve"> da </w:t>
      </w:r>
      <w:proofErr w:type="spellStart"/>
      <w:r w:rsidR="004248DA">
        <w:rPr>
          <w:sz w:val="36"/>
          <w:szCs w:val="36"/>
        </w:rPr>
        <w:t>Save</w:t>
      </w:r>
      <w:proofErr w:type="spellEnd"/>
      <w:r w:rsidR="004248DA">
        <w:rPr>
          <w:sz w:val="36"/>
          <w:szCs w:val="36"/>
        </w:rPr>
        <w:t xml:space="preserve"> the </w:t>
      </w:r>
      <w:proofErr w:type="spellStart"/>
      <w:r w:rsidR="004248DA">
        <w:rPr>
          <w:sz w:val="36"/>
          <w:szCs w:val="36"/>
        </w:rPr>
        <w:t>children</w:t>
      </w:r>
      <w:proofErr w:type="spellEnd"/>
      <w:r w:rsidR="002B3A42">
        <w:rPr>
          <w:sz w:val="36"/>
          <w:szCs w:val="36"/>
        </w:rPr>
        <w:t xml:space="preserve"> e</w:t>
      </w:r>
      <w:r w:rsidR="00CB037C">
        <w:rPr>
          <w:sz w:val="36"/>
          <w:szCs w:val="36"/>
        </w:rPr>
        <w:t xml:space="preserve"> che </w:t>
      </w:r>
      <w:r w:rsidR="004248DA">
        <w:rPr>
          <w:sz w:val="36"/>
          <w:szCs w:val="36"/>
        </w:rPr>
        <w:t xml:space="preserve"> ha coinvolto adolescenti</w:t>
      </w:r>
      <w:r>
        <w:rPr>
          <w:sz w:val="36"/>
          <w:szCs w:val="36"/>
        </w:rPr>
        <w:t xml:space="preserve"> fra i 14 e i 18 anni</w:t>
      </w:r>
      <w:r w:rsidR="005A7184">
        <w:rPr>
          <w:sz w:val="36"/>
          <w:szCs w:val="36"/>
        </w:rPr>
        <w:t>,</w:t>
      </w:r>
      <w:r w:rsidR="00CB037C">
        <w:rPr>
          <w:sz w:val="36"/>
          <w:szCs w:val="36"/>
        </w:rPr>
        <w:t xml:space="preserve">ha messo in evidenza </w:t>
      </w:r>
      <w:r w:rsidR="00916462">
        <w:rPr>
          <w:sz w:val="36"/>
          <w:szCs w:val="36"/>
        </w:rPr>
        <w:t xml:space="preserve">che </w:t>
      </w:r>
      <w:r w:rsidR="00916462" w:rsidRPr="00916462">
        <w:rPr>
          <w:sz w:val="36"/>
          <w:szCs w:val="36"/>
        </w:rPr>
        <w:t>almeno 34</w:t>
      </w:r>
      <w:r w:rsidR="005A7184">
        <w:rPr>
          <w:sz w:val="36"/>
          <w:szCs w:val="36"/>
        </w:rPr>
        <w:t>000</w:t>
      </w:r>
      <w:r w:rsidR="00916462" w:rsidRPr="00916462">
        <w:rPr>
          <w:sz w:val="36"/>
          <w:szCs w:val="36"/>
        </w:rPr>
        <w:t xml:space="preserve"> studenti delle superiori, a causa delle assenze prolungate, potrebbero trovarsi a rischio di abbandono scolastico</w:t>
      </w:r>
      <w:r w:rsidR="005A7184">
        <w:rPr>
          <w:sz w:val="36"/>
          <w:szCs w:val="36"/>
        </w:rPr>
        <w:t xml:space="preserve">. </w:t>
      </w:r>
    </w:p>
    <w:p w:rsidR="00CB037C" w:rsidRDefault="00CB037C" w:rsidP="00916462">
      <w:pPr>
        <w:rPr>
          <w:sz w:val="36"/>
          <w:szCs w:val="36"/>
        </w:rPr>
      </w:pPr>
      <w:r>
        <w:rPr>
          <w:sz w:val="36"/>
          <w:szCs w:val="36"/>
        </w:rPr>
        <w:t>Ma il fenomeno  riguarda l’intero arco della scolarità in quanto ogni periodo, ogni età ha visto ridotti</w:t>
      </w:r>
      <w:r w:rsidR="00B14560">
        <w:rPr>
          <w:sz w:val="36"/>
          <w:szCs w:val="36"/>
        </w:rPr>
        <w:t xml:space="preserve">, sospesi e in certi casi soppressi </w:t>
      </w:r>
      <w:r>
        <w:rPr>
          <w:sz w:val="36"/>
          <w:szCs w:val="36"/>
        </w:rPr>
        <w:t xml:space="preserve"> i propri </w:t>
      </w:r>
      <w:r w:rsidR="00B14560">
        <w:rPr>
          <w:sz w:val="36"/>
          <w:szCs w:val="36"/>
        </w:rPr>
        <w:t xml:space="preserve">tempi e spazi di frequenza e partecipazione. </w:t>
      </w:r>
    </w:p>
    <w:p w:rsidR="005A7184" w:rsidRPr="005A7184" w:rsidRDefault="005A7184" w:rsidP="005A7184">
      <w:pPr>
        <w:rPr>
          <w:sz w:val="36"/>
          <w:szCs w:val="36"/>
        </w:rPr>
      </w:pPr>
      <w:r w:rsidRPr="005A7184">
        <w:rPr>
          <w:sz w:val="36"/>
          <w:szCs w:val="36"/>
        </w:rPr>
        <w:t xml:space="preserve">E’ necessario agire subito per garantire una forma di “ristoro” educativo a tutti gli studenti colpiti direttamente dalla crisi. </w:t>
      </w:r>
    </w:p>
    <w:p w:rsidR="00B14560" w:rsidRDefault="00B14560" w:rsidP="00916462">
      <w:pPr>
        <w:rPr>
          <w:sz w:val="36"/>
          <w:szCs w:val="36"/>
        </w:rPr>
      </w:pPr>
      <w:r>
        <w:rPr>
          <w:sz w:val="36"/>
          <w:szCs w:val="36"/>
        </w:rPr>
        <w:t xml:space="preserve">I ‘ristori’ che la scuola può attivare non possono essere che un maggior tempo scuola, maggiori risorse di docenti e strumenti. </w:t>
      </w:r>
    </w:p>
    <w:p w:rsidR="00B14560" w:rsidRPr="00916462" w:rsidRDefault="00B14560" w:rsidP="00916462">
      <w:pPr>
        <w:rPr>
          <w:sz w:val="36"/>
          <w:szCs w:val="36"/>
        </w:rPr>
      </w:pPr>
      <w:r>
        <w:rPr>
          <w:sz w:val="36"/>
          <w:szCs w:val="36"/>
        </w:rPr>
        <w:t>Siamo fiduciosi che le istituzioni scolasticheagisc</w:t>
      </w:r>
      <w:r w:rsidR="005C2521">
        <w:rPr>
          <w:sz w:val="36"/>
          <w:szCs w:val="36"/>
        </w:rPr>
        <w:t>a</w:t>
      </w:r>
      <w:r>
        <w:rPr>
          <w:sz w:val="36"/>
          <w:szCs w:val="36"/>
        </w:rPr>
        <w:t>no nell’ottica dell’accoglienza e per la tutela dei diritti all’istruzione di tutti/e</w:t>
      </w:r>
      <w:r w:rsidR="005A7184">
        <w:rPr>
          <w:sz w:val="36"/>
          <w:szCs w:val="36"/>
        </w:rPr>
        <w:t>. P</w:t>
      </w:r>
      <w:r>
        <w:rPr>
          <w:sz w:val="36"/>
          <w:szCs w:val="36"/>
        </w:rPr>
        <w:t xml:space="preserve">er questo nella fase delle iscrizioni raccomandiamo di stimolare ed accogliere le richieste più consone a un superamento </w:t>
      </w:r>
      <w:r w:rsidR="005A7184">
        <w:rPr>
          <w:sz w:val="36"/>
          <w:szCs w:val="36"/>
        </w:rPr>
        <w:t xml:space="preserve">delle gravi limitazioni a cui per il secondo anno scolastico ci troviamo di fronte, chiedendo, nella fase della formulazione di richieste di organici, l’introduzione o l’estensione di classi a tempo pieno nel primo ciclo di istruzione.   </w:t>
      </w:r>
    </w:p>
    <w:p w:rsidR="004248DA" w:rsidRPr="00417AB5" w:rsidRDefault="005A7184" w:rsidP="004248DA">
      <w:pPr>
        <w:rPr>
          <w:sz w:val="36"/>
          <w:szCs w:val="36"/>
        </w:rPr>
      </w:pPr>
      <w:r>
        <w:rPr>
          <w:sz w:val="36"/>
          <w:szCs w:val="36"/>
        </w:rPr>
        <w:t xml:space="preserve">Pensiamo anche che a fornire una risposta ai problemi relativi a carenze di tempi e di spazi possa contribuire la costituzione di patti territoriali </w:t>
      </w:r>
      <w:r w:rsidR="001754F7">
        <w:rPr>
          <w:sz w:val="36"/>
          <w:szCs w:val="36"/>
        </w:rPr>
        <w:t xml:space="preserve">di comunità con convenzioni fra la scuola, le strutture culturali ed educative, le associazioni  presenti nel territorio circostante così che si attenuino le difficoltà e si </w:t>
      </w:r>
      <w:r w:rsidR="001754F7">
        <w:rPr>
          <w:sz w:val="36"/>
          <w:szCs w:val="36"/>
        </w:rPr>
        <w:lastRenderedPageBreak/>
        <w:t xml:space="preserve">possano fornire garanzie di potenziamento, stabilità e continuità, come già diverse esperienze virtuose </w:t>
      </w:r>
      <w:r w:rsidR="00352DD5">
        <w:rPr>
          <w:sz w:val="36"/>
          <w:szCs w:val="36"/>
        </w:rPr>
        <w:t xml:space="preserve">in vari contesti </w:t>
      </w:r>
      <w:r w:rsidR="001754F7">
        <w:rPr>
          <w:sz w:val="36"/>
          <w:szCs w:val="36"/>
        </w:rPr>
        <w:t xml:space="preserve">  hanno dimostrato di poter garantire. </w:t>
      </w:r>
    </w:p>
    <w:p w:rsidR="003B5A24" w:rsidRPr="001754F7" w:rsidRDefault="001754F7" w:rsidP="001754F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Auspichiamo altresì un impiego </w:t>
      </w:r>
      <w:r w:rsidR="005C2521">
        <w:rPr>
          <w:color w:val="000000" w:themeColor="text1"/>
          <w:sz w:val="36"/>
          <w:szCs w:val="36"/>
        </w:rPr>
        <w:t xml:space="preserve">delle risorsemesse a disposizione per l’istruzione e la ricerca </w:t>
      </w:r>
      <w:r>
        <w:rPr>
          <w:color w:val="000000" w:themeColor="text1"/>
          <w:sz w:val="36"/>
          <w:szCs w:val="36"/>
        </w:rPr>
        <w:t>d</w:t>
      </w:r>
      <w:r w:rsidR="005C2521">
        <w:rPr>
          <w:color w:val="000000" w:themeColor="text1"/>
          <w:sz w:val="36"/>
          <w:szCs w:val="36"/>
        </w:rPr>
        <w:t>a</w:t>
      </w:r>
      <w:r>
        <w:rPr>
          <w:color w:val="000000" w:themeColor="text1"/>
          <w:sz w:val="36"/>
          <w:szCs w:val="36"/>
        </w:rPr>
        <w:t xml:space="preserve">l PNRR  </w:t>
      </w:r>
      <w:r w:rsidR="005C2521">
        <w:rPr>
          <w:color w:val="000000" w:themeColor="text1"/>
          <w:sz w:val="36"/>
          <w:szCs w:val="36"/>
        </w:rPr>
        <w:t>(</w:t>
      </w:r>
      <w:r>
        <w:rPr>
          <w:color w:val="000000" w:themeColor="text1"/>
          <w:sz w:val="36"/>
          <w:szCs w:val="36"/>
        </w:rPr>
        <w:t>Piano nazionale di ripresa e resilienza ‘Next generation Italia’</w:t>
      </w:r>
      <w:r w:rsidR="005C2521">
        <w:rPr>
          <w:color w:val="000000" w:themeColor="text1"/>
          <w:sz w:val="36"/>
          <w:szCs w:val="36"/>
        </w:rPr>
        <w:t>)basato su</w:t>
      </w:r>
      <w:r>
        <w:rPr>
          <w:color w:val="000000" w:themeColor="text1"/>
          <w:sz w:val="36"/>
          <w:szCs w:val="36"/>
        </w:rPr>
        <w:t xml:space="preserve"> investimenti </w:t>
      </w:r>
      <w:r w:rsidR="005C2521">
        <w:rPr>
          <w:color w:val="000000" w:themeColor="text1"/>
          <w:sz w:val="36"/>
          <w:szCs w:val="36"/>
        </w:rPr>
        <w:t xml:space="preserve">strutturali </w:t>
      </w:r>
      <w:r w:rsidR="00A82500">
        <w:rPr>
          <w:color w:val="000000" w:themeColor="text1"/>
          <w:sz w:val="36"/>
          <w:szCs w:val="36"/>
        </w:rPr>
        <w:t xml:space="preserve">e </w:t>
      </w:r>
      <w:r>
        <w:rPr>
          <w:color w:val="000000" w:themeColor="text1"/>
          <w:sz w:val="36"/>
          <w:szCs w:val="36"/>
        </w:rPr>
        <w:t xml:space="preserve">duraturi che possano </w:t>
      </w:r>
      <w:r w:rsidR="00A82500">
        <w:rPr>
          <w:color w:val="000000" w:themeColor="text1"/>
          <w:sz w:val="36"/>
          <w:szCs w:val="36"/>
        </w:rPr>
        <w:t>offrire</w:t>
      </w:r>
      <w:r>
        <w:rPr>
          <w:color w:val="000000" w:themeColor="text1"/>
          <w:sz w:val="36"/>
          <w:szCs w:val="36"/>
        </w:rPr>
        <w:t xml:space="preserve"> maggiori chances soprattutto nei territori più deprivati</w:t>
      </w:r>
      <w:r w:rsidR="00352DD5">
        <w:rPr>
          <w:color w:val="000000" w:themeColor="text1"/>
          <w:sz w:val="36"/>
          <w:szCs w:val="36"/>
        </w:rPr>
        <w:t xml:space="preserve"> anche con accordi di rete fra scuole. </w:t>
      </w:r>
    </w:p>
    <w:p w:rsidR="00A82500" w:rsidRDefault="00A82500" w:rsidP="00CB037C">
      <w:pPr>
        <w:pStyle w:val="Paragrafoelenc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Tavolo </w:t>
      </w:r>
      <w:proofErr w:type="spellStart"/>
      <w:r>
        <w:rPr>
          <w:color w:val="000000" w:themeColor="text1"/>
          <w:sz w:val="36"/>
          <w:szCs w:val="36"/>
        </w:rPr>
        <w:t>SaltaMuri</w:t>
      </w:r>
      <w:proofErr w:type="spellEnd"/>
    </w:p>
    <w:p w:rsidR="00065BFB" w:rsidRPr="00A82500" w:rsidRDefault="00A82500" w:rsidP="00A82500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Roma gennaio 2021</w:t>
      </w:r>
    </w:p>
    <w:p w:rsidR="003B5A24" w:rsidRPr="005A7184" w:rsidRDefault="003B5A24" w:rsidP="005A7184">
      <w:pPr>
        <w:ind w:left="360"/>
        <w:rPr>
          <w:color w:val="FF0000"/>
          <w:sz w:val="36"/>
          <w:szCs w:val="36"/>
        </w:rPr>
      </w:pPr>
    </w:p>
    <w:sectPr w:rsidR="003B5A24" w:rsidRPr="005A7184" w:rsidSect="003C5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1AD"/>
    <w:multiLevelType w:val="hybridMultilevel"/>
    <w:tmpl w:val="28A4774A"/>
    <w:lvl w:ilvl="0" w:tplc="4CF49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F3B24"/>
    <w:rsid w:val="00065BFB"/>
    <w:rsid w:val="001754F7"/>
    <w:rsid w:val="001D3635"/>
    <w:rsid w:val="002B3A42"/>
    <w:rsid w:val="00352DD5"/>
    <w:rsid w:val="003701F9"/>
    <w:rsid w:val="003B5A24"/>
    <w:rsid w:val="003C59E8"/>
    <w:rsid w:val="00417AB5"/>
    <w:rsid w:val="004248DA"/>
    <w:rsid w:val="005A7184"/>
    <w:rsid w:val="005B751B"/>
    <w:rsid w:val="005C2521"/>
    <w:rsid w:val="00612FBE"/>
    <w:rsid w:val="0071445F"/>
    <w:rsid w:val="008E3F65"/>
    <w:rsid w:val="00916462"/>
    <w:rsid w:val="00A82500"/>
    <w:rsid w:val="00B14560"/>
    <w:rsid w:val="00B93192"/>
    <w:rsid w:val="00BF3B24"/>
    <w:rsid w:val="00CB037C"/>
    <w:rsid w:val="00D55C9B"/>
    <w:rsid w:val="00DB18A3"/>
    <w:rsid w:val="00ED154A"/>
    <w:rsid w:val="00F5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B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46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646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amu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Utente</cp:lastModifiedBy>
  <cp:revision>2</cp:revision>
  <dcterms:created xsi:type="dcterms:W3CDTF">2021-01-12T17:02:00Z</dcterms:created>
  <dcterms:modified xsi:type="dcterms:W3CDTF">2021-01-12T17:02:00Z</dcterms:modified>
</cp:coreProperties>
</file>