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B03" w:rsidRPr="005E7218" w:rsidRDefault="00F35B03">
      <w:pPr>
        <w:rPr>
          <w:rFonts w:ascii="Times New Roman" w:hAnsi="Times New Roman" w:cs="Times New Roman"/>
        </w:rPr>
      </w:pPr>
      <w:r w:rsidRPr="005E7218">
        <w:rPr>
          <w:rFonts w:ascii="Times New Roman" w:hAnsi="Times New Roman" w:cs="Times New Roman"/>
        </w:rPr>
        <w:t xml:space="preserve">Presentazione del libro  </w:t>
      </w:r>
      <w:r w:rsidRPr="005E7218">
        <w:rPr>
          <w:rFonts w:ascii="Times New Roman" w:hAnsi="Times New Roman" w:cs="Times New Roman"/>
          <w:i/>
        </w:rPr>
        <w:t>E’ TEMPO DI CAMBIARE</w:t>
      </w:r>
      <w:r w:rsidR="007B5538">
        <w:rPr>
          <w:rFonts w:ascii="Times New Roman" w:hAnsi="Times New Roman" w:cs="Times New Roman"/>
          <w:i/>
        </w:rPr>
        <w:t xml:space="preserve"> </w:t>
      </w:r>
      <w:r w:rsidRPr="005E7218">
        <w:rPr>
          <w:rFonts w:ascii="Times New Roman" w:hAnsi="Times New Roman" w:cs="Times New Roman"/>
        </w:rPr>
        <w:t>a cura di Pontecorvo, Fatai Stancanelli</w:t>
      </w:r>
    </w:p>
    <w:p w:rsidR="002D1E8C" w:rsidRPr="005E7218" w:rsidRDefault="00F35B03">
      <w:pPr>
        <w:rPr>
          <w:rFonts w:ascii="Times New Roman" w:hAnsi="Times New Roman" w:cs="Times New Roman"/>
          <w:i/>
        </w:rPr>
      </w:pPr>
      <w:r w:rsidRPr="005E7218">
        <w:rPr>
          <w:rFonts w:ascii="Times New Roman" w:hAnsi="Times New Roman" w:cs="Times New Roman"/>
          <w:color w:val="C00000"/>
          <w:sz w:val="28"/>
          <w:szCs w:val="28"/>
        </w:rPr>
        <w:t>La relazione educativa: alla ricerca di significato</w:t>
      </w:r>
      <w:r w:rsidRPr="005E7218">
        <w:rPr>
          <w:rFonts w:ascii="Times New Roman" w:hAnsi="Times New Roman" w:cs="Times New Roman"/>
          <w:i/>
        </w:rPr>
        <w:br/>
        <w:t>Lucia Marchetti</w:t>
      </w:r>
    </w:p>
    <w:p w:rsidR="00F35B03" w:rsidRPr="005E7218" w:rsidRDefault="005764E7" w:rsidP="005E7218">
      <w:pPr>
        <w:rPr>
          <w:rFonts w:ascii="Times New Roman" w:hAnsi="Times New Roman" w:cs="Times New Roman"/>
        </w:rPr>
      </w:pPr>
      <w:r w:rsidRPr="005E7218">
        <w:rPr>
          <w:rFonts w:ascii="Times New Roman" w:hAnsi="Times New Roman" w:cs="Times New Roman"/>
          <w:i/>
        </w:rPr>
        <w:t>Questo libro</w:t>
      </w:r>
      <w:r w:rsidR="005E7218" w:rsidRPr="005E7218">
        <w:rPr>
          <w:rFonts w:ascii="Times New Roman" w:hAnsi="Times New Roman" w:cs="Times New Roman"/>
          <w:i/>
        </w:rPr>
        <w:br/>
      </w:r>
      <w:r w:rsidR="00F35B03" w:rsidRPr="005E7218">
        <w:rPr>
          <w:rFonts w:ascii="Times New Roman" w:hAnsi="Times New Roman" w:cs="Times New Roman"/>
        </w:rPr>
        <w:t>Il contributo che si trova all’interno del volume testimonia un interesse  - quello della relazione educativa – che ho condiviso con molti autori presenti nel volume stesso, in particolare con il gruppo che dagli Anni Nova</w:t>
      </w:r>
      <w:r w:rsidR="00B91827" w:rsidRPr="005E7218">
        <w:rPr>
          <w:rFonts w:ascii="Times New Roman" w:hAnsi="Times New Roman" w:cs="Times New Roman"/>
        </w:rPr>
        <w:t>nta ha lavorato negli indirizzi di scienze sociali, ma da prima, fin dai primi anni settanta con i colleghe delle scuole sperimentali abbiamo tenuto contatti con Clotilde Pontecorvo di cui leggevamo i testi e cercavamo di mettere in pratica le teorie. Faccio questa premessa per dire che il mio mestiere di insegnante è stato caratterizzato fin dall’inizio (metà Anni Settanta) dal</w:t>
      </w:r>
      <w:r w:rsidR="00B91827" w:rsidRPr="005E7218">
        <w:rPr>
          <w:rFonts w:ascii="Times New Roman" w:hAnsi="Times New Roman" w:cs="Times New Roman"/>
          <w:b/>
        </w:rPr>
        <w:t xml:space="preserve"> lavoro con gli altri</w:t>
      </w:r>
      <w:r w:rsidR="00B91827" w:rsidRPr="005E7218">
        <w:rPr>
          <w:rFonts w:ascii="Times New Roman" w:hAnsi="Times New Roman" w:cs="Times New Roman"/>
        </w:rPr>
        <w:t xml:space="preserve">, dalla messa in comune delle esperienze, dal confronto da un lato con le teorie misurate, dall’altro, sulle pratiche in classe.  Molto formativa è stata per me la collaborazione tra scuole sperimentali e la partecipazione alla redazione della rivista </w:t>
      </w:r>
      <w:r w:rsidR="00B91827" w:rsidRPr="005E7218">
        <w:rPr>
          <w:rFonts w:ascii="Times New Roman" w:hAnsi="Times New Roman" w:cs="Times New Roman"/>
          <w:i/>
        </w:rPr>
        <w:t xml:space="preserve">Sensate Esperienze </w:t>
      </w:r>
      <w:r w:rsidR="00B91827" w:rsidRPr="005E7218">
        <w:rPr>
          <w:rFonts w:ascii="Times New Roman" w:hAnsi="Times New Roman" w:cs="Times New Roman"/>
        </w:rPr>
        <w:t>(pubblicata dal 1987 al 2003) in cui ci si confrontava e si discuteva sulle pratiche in classe ma si prendevano in esame con grande laicità le teorie che periodicamente venivano diffuse</w:t>
      </w:r>
      <w:r w:rsidR="003D5EAF" w:rsidRPr="005E7218">
        <w:rPr>
          <w:rFonts w:ascii="Times New Roman" w:hAnsi="Times New Roman" w:cs="Times New Roman"/>
        </w:rPr>
        <w:t xml:space="preserve"> per validarne l’efficacia. E questo libro testimonia come in quasi 40 anni nella scuola ci sia stata una grande ricchezza di esperienze e di pensiero purtroppo non abbastanza valorizzate da chi avrebbe potuto tenerne conto.</w:t>
      </w:r>
    </w:p>
    <w:p w:rsidR="009A2760" w:rsidRPr="005E7218" w:rsidRDefault="005764E7" w:rsidP="005E7218">
      <w:pPr>
        <w:rPr>
          <w:rFonts w:ascii="Times New Roman" w:hAnsi="Times New Roman" w:cs="Times New Roman"/>
        </w:rPr>
      </w:pPr>
      <w:r w:rsidRPr="005E7218">
        <w:rPr>
          <w:rFonts w:ascii="Times New Roman" w:hAnsi="Times New Roman" w:cs="Times New Roman"/>
          <w:i/>
        </w:rPr>
        <w:t>La psicologia dell’apprendimento</w:t>
      </w:r>
      <w:r w:rsidR="005E7218" w:rsidRPr="005E7218">
        <w:rPr>
          <w:rFonts w:ascii="Times New Roman" w:hAnsi="Times New Roman" w:cs="Times New Roman"/>
          <w:i/>
        </w:rPr>
        <w:br/>
      </w:r>
      <w:r w:rsidR="003D5EAF" w:rsidRPr="005E7218">
        <w:rPr>
          <w:rFonts w:ascii="Times New Roman" w:hAnsi="Times New Roman" w:cs="Times New Roman"/>
        </w:rPr>
        <w:t>Fin dagli Anni Ottanta il tema della relazione allievo-insegnante si rivelava un elemento chiave del processo formativo e si organizzavano corsi di formazione sul metodo di studio, sulle abilità di studio e il curricolo fondati su teorie cognitiviste e sulla psicologia dell’educazione</w:t>
      </w:r>
      <w:r w:rsidR="00C732ED" w:rsidRPr="005E7218">
        <w:rPr>
          <w:rFonts w:ascii="Times New Roman" w:hAnsi="Times New Roman" w:cs="Times New Roman"/>
        </w:rPr>
        <w:t xml:space="preserve"> (Bloom, Bruner, Pontecorvo))</w:t>
      </w:r>
      <w:r w:rsidR="003D5EAF" w:rsidRPr="005E7218">
        <w:rPr>
          <w:rFonts w:ascii="Times New Roman" w:hAnsi="Times New Roman" w:cs="Times New Roman"/>
        </w:rPr>
        <w:t xml:space="preserve"> secondo cui è fondamentale mettere lo studente in grado di gestire in modo sempre più autonomo il proprio apprendimento. Usciva il quegli anni anche un testo </w:t>
      </w:r>
      <w:r w:rsidR="003D5EAF" w:rsidRPr="005E7218">
        <w:rPr>
          <w:rFonts w:ascii="Times New Roman" w:hAnsi="Times New Roman" w:cs="Times New Roman"/>
          <w:i/>
        </w:rPr>
        <w:t>Professione studente</w:t>
      </w:r>
      <w:r w:rsidR="003D5EAF" w:rsidRPr="005E7218">
        <w:rPr>
          <w:rFonts w:ascii="Times New Roman" w:hAnsi="Times New Roman" w:cs="Times New Roman"/>
        </w:rPr>
        <w:t xml:space="preserve"> curato dagli insegnanti dell’istituto sperimentale Cobianchi di Verbania in cui si riportavano le buone pratiche sul gestire le diverse attività che lo studio richiede (come leggere, come analizzare un testo, come strutturare una relazione</w:t>
      </w:r>
      <w:r w:rsidR="009A2760" w:rsidRPr="005E7218">
        <w:rPr>
          <w:rFonts w:ascii="Times New Roman" w:hAnsi="Times New Roman" w:cs="Times New Roman"/>
        </w:rPr>
        <w:t xml:space="preserve"> ecc). Più tardi fine Anni Ottan</w:t>
      </w:r>
      <w:r w:rsidR="00C732ED" w:rsidRPr="005E7218">
        <w:rPr>
          <w:rFonts w:ascii="Times New Roman" w:hAnsi="Times New Roman" w:cs="Times New Roman"/>
        </w:rPr>
        <w:t>ta l’interesse si è spostato su</w:t>
      </w:r>
      <w:r w:rsidR="009A2760" w:rsidRPr="005E7218">
        <w:rPr>
          <w:rFonts w:ascii="Times New Roman" w:hAnsi="Times New Roman" w:cs="Times New Roman"/>
        </w:rPr>
        <w:t xml:space="preserve">lla motivazione (Maslow, Rogers, Gordon) considerata la variabile più importante , il filtro che favorisce o impedisce l’apprendimento. E allora si cercavano modi efficaci per suscitare la motivazione e si analizzavano aspetti emotivi  troppo trascurati dalla scuola mentre l’individuo è totalità integrata e in questa totalità va </w:t>
      </w:r>
      <w:r w:rsidRPr="005E7218">
        <w:rPr>
          <w:rFonts w:ascii="Times New Roman" w:hAnsi="Times New Roman" w:cs="Times New Roman"/>
        </w:rPr>
        <w:t>educato. Ricor</w:t>
      </w:r>
      <w:r w:rsidR="009A2760" w:rsidRPr="005E7218">
        <w:rPr>
          <w:rFonts w:ascii="Times New Roman" w:hAnsi="Times New Roman" w:cs="Times New Roman"/>
        </w:rPr>
        <w:t xml:space="preserve">do i testi, </w:t>
      </w:r>
      <w:r w:rsidR="009A2760" w:rsidRPr="005E7218">
        <w:rPr>
          <w:rFonts w:ascii="Times New Roman" w:hAnsi="Times New Roman" w:cs="Times New Roman"/>
          <w:i/>
        </w:rPr>
        <w:t>Star bene a scuola, Insegnanti efficaci,</w:t>
      </w:r>
      <w:r w:rsidR="009A2760" w:rsidRPr="005E7218">
        <w:rPr>
          <w:rFonts w:ascii="Times New Roman" w:hAnsi="Times New Roman" w:cs="Times New Roman"/>
        </w:rPr>
        <w:t xml:space="preserve"> ecc,.. Più tardi, negli Anni Novanta, molti corsi di aggiornamento hanno posto l’attenzione sulla comunicazione e sulle dinamiche motivazionali proprie dell’insegnante secondo  modelli della psicologia clinica (Klein, Bion) fino agli Anni Duemila con la psicologia culturale e le teorie della complessità e dei contesti (Prigogine, Bateson,  Morin); secondo queste ultime cadono molte illusioni anche in fatto di cultura pedagogica e didattica; si afferma lo stretto legame tra processi formativi, modelli cognitivi,</w:t>
      </w:r>
      <w:r w:rsidR="00C732ED" w:rsidRPr="005E7218">
        <w:rPr>
          <w:rFonts w:ascii="Times New Roman" w:hAnsi="Times New Roman" w:cs="Times New Roman"/>
        </w:rPr>
        <w:t xml:space="preserve"> </w:t>
      </w:r>
      <w:r w:rsidR="009A2760" w:rsidRPr="005E7218">
        <w:rPr>
          <w:rFonts w:ascii="Times New Roman" w:hAnsi="Times New Roman" w:cs="Times New Roman"/>
        </w:rPr>
        <w:t xml:space="preserve"> modalità di essere e di porsi in un mondo incerto per il quale occorre  una mente aperta, flessibile, responsabile, multidimensionale.</w:t>
      </w:r>
    </w:p>
    <w:p w:rsidR="009A2760" w:rsidRPr="005E7218" w:rsidRDefault="009A2760" w:rsidP="009A2760">
      <w:pPr>
        <w:pStyle w:val="Testonormale"/>
        <w:rPr>
          <w:rFonts w:ascii="Times New Roman" w:hAnsi="Times New Roman" w:cs="Times New Roman"/>
          <w:sz w:val="22"/>
          <w:szCs w:val="22"/>
        </w:rPr>
      </w:pPr>
    </w:p>
    <w:p w:rsidR="009A2760" w:rsidRPr="005E7218" w:rsidRDefault="009A2760" w:rsidP="009A2760">
      <w:pPr>
        <w:pStyle w:val="Testonormale"/>
        <w:rPr>
          <w:rFonts w:ascii="Times New Roman" w:hAnsi="Times New Roman" w:cs="Times New Roman"/>
          <w:sz w:val="22"/>
          <w:szCs w:val="22"/>
        </w:rPr>
      </w:pPr>
      <w:r w:rsidRPr="005E7218">
        <w:rPr>
          <w:rFonts w:ascii="Times New Roman" w:hAnsi="Times New Roman" w:cs="Times New Roman"/>
          <w:b/>
          <w:sz w:val="22"/>
          <w:szCs w:val="22"/>
        </w:rPr>
        <w:t>Il problema</w:t>
      </w:r>
      <w:r w:rsidR="00C732ED" w:rsidRPr="005E7218">
        <w:rPr>
          <w:rFonts w:ascii="Times New Roman" w:hAnsi="Times New Roman" w:cs="Times New Roman"/>
          <w:sz w:val="22"/>
          <w:szCs w:val="22"/>
        </w:rPr>
        <w:t xml:space="preserve">  Un primo passaggio da compiere a mio avviso sta </w:t>
      </w:r>
      <w:r w:rsidR="00C732ED" w:rsidRPr="005E7218">
        <w:rPr>
          <w:rFonts w:ascii="Times New Roman" w:hAnsi="Times New Roman" w:cs="Times New Roman"/>
          <w:sz w:val="22"/>
          <w:szCs w:val="22"/>
          <w:u w:val="single"/>
        </w:rPr>
        <w:t>nell’individuare i fattori di un contesto che favorisca la crescita</w:t>
      </w:r>
      <w:r w:rsidR="00C732ED" w:rsidRPr="005E7218">
        <w:rPr>
          <w:rFonts w:ascii="Times New Roman" w:hAnsi="Times New Roman" w:cs="Times New Roman"/>
          <w:sz w:val="22"/>
          <w:szCs w:val="22"/>
        </w:rPr>
        <w:t>, un ambiente per l’apprendimento nel quale riuscire a tenere insieme sapere, cuore e ragione, cioè sapere e identità</w:t>
      </w:r>
      <w:r w:rsidR="005764E7" w:rsidRPr="005E7218">
        <w:rPr>
          <w:rFonts w:ascii="Times New Roman" w:hAnsi="Times New Roman" w:cs="Times New Roman"/>
          <w:sz w:val="22"/>
          <w:szCs w:val="22"/>
        </w:rPr>
        <w:t>, come costruire esperienze significative e, a seconda delle età, come gestire le relazioni tra giovani e adulti, tra ruoli e funzioni.</w:t>
      </w:r>
    </w:p>
    <w:p w:rsidR="005764E7" w:rsidRPr="005E7218" w:rsidRDefault="005764E7" w:rsidP="009A2760">
      <w:pPr>
        <w:pStyle w:val="Testonormale"/>
        <w:rPr>
          <w:rFonts w:ascii="Times New Roman" w:hAnsi="Times New Roman" w:cs="Times New Roman"/>
          <w:sz w:val="22"/>
          <w:szCs w:val="22"/>
        </w:rPr>
      </w:pPr>
      <w:r w:rsidRPr="005E7218">
        <w:rPr>
          <w:rFonts w:ascii="Times New Roman" w:hAnsi="Times New Roman" w:cs="Times New Roman"/>
          <w:sz w:val="22"/>
          <w:szCs w:val="22"/>
        </w:rPr>
        <w:t>Nelle esperienze che ho condiviso provo a indicare i fattori che sono risultati cruciali nel favorire una buona relazione e, indirettamente, un buon apprendimento.</w:t>
      </w:r>
    </w:p>
    <w:p w:rsidR="005E7218" w:rsidRDefault="005E7218" w:rsidP="009A2760">
      <w:pPr>
        <w:pStyle w:val="Testonormale"/>
        <w:rPr>
          <w:rFonts w:ascii="Times New Roman" w:hAnsi="Times New Roman" w:cs="Times New Roman"/>
          <w:sz w:val="22"/>
          <w:szCs w:val="22"/>
        </w:rPr>
      </w:pPr>
    </w:p>
    <w:p w:rsidR="00DD2AFA" w:rsidRDefault="00DD2AFA" w:rsidP="009A2760">
      <w:pPr>
        <w:pStyle w:val="Testonormale"/>
        <w:rPr>
          <w:rFonts w:ascii="Times New Roman" w:hAnsi="Times New Roman" w:cs="Times New Roman"/>
          <w:sz w:val="22"/>
          <w:szCs w:val="22"/>
        </w:rPr>
      </w:pPr>
    </w:p>
    <w:p w:rsidR="00DD2AFA" w:rsidRPr="005E7218" w:rsidRDefault="00DD2AFA" w:rsidP="009A2760">
      <w:pPr>
        <w:pStyle w:val="Testonormale"/>
        <w:rPr>
          <w:rFonts w:ascii="Times New Roman" w:hAnsi="Times New Roman" w:cs="Times New Roman"/>
          <w:sz w:val="22"/>
          <w:szCs w:val="22"/>
        </w:rPr>
      </w:pPr>
    </w:p>
    <w:p w:rsidR="005E7218" w:rsidRPr="005E7218" w:rsidRDefault="005E7218" w:rsidP="009A2760">
      <w:pPr>
        <w:pStyle w:val="Testonormale"/>
        <w:rPr>
          <w:rFonts w:ascii="Times New Roman" w:hAnsi="Times New Roman" w:cs="Times New Roman"/>
          <w:sz w:val="22"/>
          <w:szCs w:val="22"/>
        </w:rPr>
      </w:pPr>
    </w:p>
    <w:p w:rsidR="005E7218" w:rsidRPr="005E7218" w:rsidRDefault="005E7218" w:rsidP="009A2760">
      <w:pPr>
        <w:pStyle w:val="Testonormale"/>
        <w:rPr>
          <w:rFonts w:ascii="Times New Roman" w:hAnsi="Times New Roman" w:cs="Times New Roman"/>
          <w:sz w:val="22"/>
          <w:szCs w:val="22"/>
        </w:rPr>
      </w:pPr>
    </w:p>
    <w:p w:rsidR="005E7218" w:rsidRPr="005E7218" w:rsidRDefault="005764E7" w:rsidP="00C51713">
      <w:pPr>
        <w:pStyle w:val="Paragrafoelenco"/>
        <w:numPr>
          <w:ilvl w:val="0"/>
          <w:numId w:val="1"/>
        </w:numPr>
        <w:rPr>
          <w:rFonts w:ascii="Times New Roman" w:hAnsi="Times New Roman" w:cs="Times New Roman"/>
        </w:rPr>
      </w:pPr>
      <w:r w:rsidRPr="005E7218">
        <w:rPr>
          <w:rFonts w:ascii="Times New Roman" w:hAnsi="Times New Roman" w:cs="Times New Roman"/>
          <w:b/>
        </w:rPr>
        <w:lastRenderedPageBreak/>
        <w:t>Le condizioni al contorno: l’ambiente fisico,</w:t>
      </w:r>
      <w:r w:rsidR="005E7218" w:rsidRPr="005E7218">
        <w:rPr>
          <w:rFonts w:ascii="Times New Roman" w:hAnsi="Times New Roman" w:cs="Times New Roman"/>
          <w:b/>
        </w:rPr>
        <w:t xml:space="preserve"> umano, il territorio, la città</w:t>
      </w:r>
    </w:p>
    <w:p w:rsidR="003D5EAF" w:rsidRPr="005E7218" w:rsidRDefault="005E7218" w:rsidP="005E7218">
      <w:pPr>
        <w:ind w:left="360"/>
        <w:rPr>
          <w:rFonts w:ascii="Times New Roman" w:hAnsi="Times New Roman" w:cs="Times New Roman"/>
        </w:rPr>
      </w:pPr>
      <w:r w:rsidRPr="007B5538">
        <w:rPr>
          <w:rFonts w:ascii="Times New Roman" w:hAnsi="Times New Roman" w:cs="Times New Roman"/>
        </w:rPr>
        <w:t>a.</w:t>
      </w:r>
      <w:r w:rsidRPr="005E7218">
        <w:rPr>
          <w:rFonts w:ascii="Times New Roman" w:hAnsi="Times New Roman" w:cs="Times New Roman"/>
          <w:b/>
        </w:rPr>
        <w:t xml:space="preserve">  S</w:t>
      </w:r>
      <w:r w:rsidR="005764E7" w:rsidRPr="005E7218">
        <w:rPr>
          <w:rFonts w:ascii="Times New Roman" w:hAnsi="Times New Roman" w:cs="Times New Roman"/>
          <w:b/>
        </w:rPr>
        <w:t>pazi aperti, polifunzionali</w:t>
      </w:r>
      <w:r w:rsidR="005764E7" w:rsidRPr="005E7218">
        <w:rPr>
          <w:rFonts w:ascii="Times New Roman" w:hAnsi="Times New Roman" w:cs="Times New Roman"/>
        </w:rPr>
        <w:t xml:space="preserve">, scuola aperta fino a sera per fare attività diverse, buona collaborazione </w:t>
      </w:r>
      <w:r w:rsidRPr="005E7218">
        <w:rPr>
          <w:rFonts w:ascii="Times New Roman" w:hAnsi="Times New Roman" w:cs="Times New Roman"/>
        </w:rPr>
        <w:t xml:space="preserve"> </w:t>
      </w:r>
      <w:r w:rsidRPr="005E7218">
        <w:rPr>
          <w:rFonts w:ascii="Times New Roman" w:hAnsi="Times New Roman" w:cs="Times New Roman"/>
        </w:rPr>
        <w:br/>
        <w:t xml:space="preserve">    </w:t>
      </w:r>
      <w:r w:rsidR="005764E7" w:rsidRPr="005E7218">
        <w:rPr>
          <w:rFonts w:ascii="Times New Roman" w:hAnsi="Times New Roman" w:cs="Times New Roman"/>
        </w:rPr>
        <w:t>tra gli adulti all’interno e con i genitori nella partecipazione</w:t>
      </w:r>
      <w:r w:rsidR="008273F8" w:rsidRPr="005E7218">
        <w:rPr>
          <w:rFonts w:ascii="Times New Roman" w:hAnsi="Times New Roman" w:cs="Times New Roman"/>
        </w:rPr>
        <w:t xml:space="preserve">  alle attività della scuola. A</w:t>
      </w:r>
      <w:r w:rsidR="005764E7" w:rsidRPr="005E7218">
        <w:rPr>
          <w:rFonts w:ascii="Times New Roman" w:hAnsi="Times New Roman" w:cs="Times New Roman"/>
        </w:rPr>
        <w:t xml:space="preserve">pertura alla </w:t>
      </w:r>
      <w:r w:rsidRPr="005E7218">
        <w:rPr>
          <w:rFonts w:ascii="Times New Roman" w:hAnsi="Times New Roman" w:cs="Times New Roman"/>
        </w:rPr>
        <w:br/>
        <w:t xml:space="preserve">    </w:t>
      </w:r>
      <w:r w:rsidR="005764E7" w:rsidRPr="005E7218">
        <w:rPr>
          <w:rFonts w:ascii="Times New Roman" w:hAnsi="Times New Roman" w:cs="Times New Roman"/>
        </w:rPr>
        <w:t xml:space="preserve">città con la </w:t>
      </w:r>
      <w:r w:rsidR="005764E7" w:rsidRPr="005E7218">
        <w:rPr>
          <w:rFonts w:ascii="Times New Roman" w:hAnsi="Times New Roman" w:cs="Times New Roman"/>
          <w:b/>
        </w:rPr>
        <w:t xml:space="preserve">biblioteca. </w:t>
      </w:r>
      <w:r w:rsidR="005764E7" w:rsidRPr="005E7218">
        <w:rPr>
          <w:rFonts w:ascii="Times New Roman" w:hAnsi="Times New Roman" w:cs="Times New Roman"/>
          <w:u w:val="single"/>
        </w:rPr>
        <w:t>Fondamentale la buona collaborazione tra adulti: punto nevralgico.</w:t>
      </w:r>
    </w:p>
    <w:p w:rsidR="005764E7" w:rsidRPr="005E7218" w:rsidRDefault="005764E7" w:rsidP="005E7218">
      <w:pPr>
        <w:pStyle w:val="Paragrafoelenco"/>
        <w:numPr>
          <w:ilvl w:val="0"/>
          <w:numId w:val="3"/>
        </w:numPr>
        <w:rPr>
          <w:rFonts w:ascii="Times New Roman" w:hAnsi="Times New Roman" w:cs="Times New Roman"/>
        </w:rPr>
      </w:pPr>
      <w:r w:rsidRPr="005E7218">
        <w:rPr>
          <w:rFonts w:ascii="Times New Roman" w:hAnsi="Times New Roman" w:cs="Times New Roman"/>
          <w:b/>
        </w:rPr>
        <w:t>Incontri tra pari</w:t>
      </w:r>
      <w:r w:rsidRPr="005E7218">
        <w:rPr>
          <w:rFonts w:ascii="Times New Roman" w:hAnsi="Times New Roman" w:cs="Times New Roman"/>
        </w:rPr>
        <w:t xml:space="preserve"> e tra età diverse. Incontri tra novizi e maturandi</w:t>
      </w:r>
      <w:r w:rsidR="008273F8" w:rsidRPr="005E7218">
        <w:rPr>
          <w:rFonts w:ascii="Times New Roman" w:hAnsi="Times New Roman" w:cs="Times New Roman"/>
        </w:rPr>
        <w:t xml:space="preserve">: </w:t>
      </w:r>
      <w:r w:rsidR="008273F8" w:rsidRPr="005E7218">
        <w:rPr>
          <w:rFonts w:ascii="Times New Roman" w:hAnsi="Times New Roman" w:cs="Times New Roman"/>
          <w:u w:val="single"/>
        </w:rPr>
        <w:t xml:space="preserve">sentimento di appartenenza: </w:t>
      </w:r>
      <w:r w:rsidR="008273F8" w:rsidRPr="005E7218">
        <w:rPr>
          <w:rFonts w:ascii="Times New Roman" w:hAnsi="Times New Roman" w:cs="Times New Roman"/>
        </w:rPr>
        <w:t xml:space="preserve"> aspetto esplicito d3ella cultura della scuola. Relazioni tra gli allievi e la dirigenza, con il personale non docente che può diventare una risorsa positiva nel produrre appartenenza</w:t>
      </w:r>
    </w:p>
    <w:p w:rsidR="001B223F" w:rsidRPr="005E7218" w:rsidRDefault="008273F8" w:rsidP="00027CE9">
      <w:pPr>
        <w:jc w:val="both"/>
        <w:rPr>
          <w:rFonts w:ascii="Times New Roman" w:hAnsi="Times New Roman" w:cs="Times New Roman"/>
          <w:b/>
          <w:u w:val="single"/>
        </w:rPr>
      </w:pPr>
      <w:r w:rsidRPr="005E7218">
        <w:rPr>
          <w:rFonts w:ascii="Times New Roman" w:hAnsi="Times New Roman" w:cs="Times New Roman"/>
          <w:b/>
        </w:rPr>
        <w:t xml:space="preserve">Il fuori: le famiglie, il territorio, la città. </w:t>
      </w:r>
      <w:r w:rsidRPr="005E7218">
        <w:rPr>
          <w:rFonts w:ascii="Times New Roman" w:hAnsi="Times New Roman" w:cs="Times New Roman"/>
          <w:u w:val="single"/>
        </w:rPr>
        <w:t>La famiglia</w:t>
      </w:r>
      <w:r w:rsidRPr="005E7218">
        <w:rPr>
          <w:rFonts w:ascii="Times New Roman" w:hAnsi="Times New Roman" w:cs="Times New Roman"/>
        </w:rPr>
        <w:t>, polo fondamentale della relazione educativa, va coinvolta fin dall’inizio per condividere il progetto educativo e magari poter offrire aiuto (VS registro elettronico&gt;&gt;) Il bene che i genitori vogliono ai loro figli e l’interesse che noi portiamo ai nostri studenti possono diventare energie forte per rafforzare l’apprendimento e anche per trasformare le istituzioni. Se ciò non avviene</w:t>
      </w:r>
      <w:r w:rsidR="001B223F" w:rsidRPr="005E7218">
        <w:rPr>
          <w:rFonts w:ascii="Times New Roman" w:hAnsi="Times New Roman" w:cs="Times New Roman"/>
        </w:rPr>
        <w:t xml:space="preserve"> i ragazzi non potranno percepire l’autenticità di coloro che hanno davanti, adulti che, pure loro, hanno dei problemi a vivere in quel territorio, ad avere una prospettiva di vita, a portare avanti questa vita a cui li chiamano a partecipare. </w:t>
      </w:r>
      <w:r w:rsidR="001B223F" w:rsidRPr="005E7218">
        <w:rPr>
          <w:rFonts w:ascii="Times New Roman" w:hAnsi="Times New Roman" w:cs="Times New Roman"/>
          <w:u w:val="single"/>
        </w:rPr>
        <w:t>Anche questo costruisce appartenenza</w:t>
      </w:r>
      <w:r w:rsidR="001B223F" w:rsidRPr="005E7218">
        <w:rPr>
          <w:rFonts w:ascii="Times New Roman" w:hAnsi="Times New Roman" w:cs="Times New Roman"/>
        </w:rPr>
        <w:t xml:space="preserve"> </w:t>
      </w:r>
      <w:r w:rsidR="001B223F" w:rsidRPr="005E7218">
        <w:rPr>
          <w:rFonts w:ascii="Times New Roman" w:hAnsi="Times New Roman" w:cs="Times New Roman"/>
          <w:u w:val="single"/>
        </w:rPr>
        <w:t xml:space="preserve">e soprattutto attribuisce senso all’azione educativa. </w:t>
      </w:r>
    </w:p>
    <w:p w:rsidR="008273F8" w:rsidRDefault="001B223F" w:rsidP="001B223F">
      <w:pPr>
        <w:pStyle w:val="Paragrafoelenco"/>
        <w:rPr>
          <w:rFonts w:ascii="Times New Roman" w:hAnsi="Times New Roman" w:cs="Times New Roman"/>
          <w:u w:val="single"/>
        </w:rPr>
      </w:pPr>
      <w:r w:rsidRPr="005E7218">
        <w:rPr>
          <w:rFonts w:ascii="Times New Roman" w:hAnsi="Times New Roman" w:cs="Times New Roman"/>
          <w:b/>
        </w:rPr>
        <w:t>Che fare?</w:t>
      </w:r>
      <w:r w:rsidRPr="005E7218">
        <w:rPr>
          <w:rFonts w:ascii="Times New Roman" w:hAnsi="Times New Roman" w:cs="Times New Roman"/>
        </w:rPr>
        <w:t xml:space="preserve"> – aprire la scuola al territorio e far entrare gradualmente i ragazzi nelle maglie complesse della vita di comunità, nelle istituzioni che vanno coinvolte e chiamate a mostrarsi e a spiegare cosa fanno e come lo fanno, costruire </w:t>
      </w:r>
      <w:r w:rsidRPr="005E7218">
        <w:rPr>
          <w:rFonts w:ascii="Times New Roman" w:hAnsi="Times New Roman" w:cs="Times New Roman"/>
          <w:u w:val="single"/>
        </w:rPr>
        <w:t xml:space="preserve">patti </w:t>
      </w:r>
      <w:r w:rsidRPr="005E7218">
        <w:rPr>
          <w:rFonts w:ascii="Times New Roman" w:hAnsi="Times New Roman" w:cs="Times New Roman"/>
        </w:rPr>
        <w:t>educativi  tra famiglie, scuola e istituzioni in cui i giovani abbiano la possibilità di essere protagonisti, di provare a mettersi in gioco.</w:t>
      </w:r>
      <w:r w:rsidRPr="005E7218">
        <w:rPr>
          <w:rFonts w:ascii="Times New Roman" w:hAnsi="Times New Roman" w:cs="Times New Roman"/>
        </w:rPr>
        <w:br/>
        <w:t xml:space="preserve">Da più di trent’anni sono diffuse buone pratiche di apertura della scuola al teritorio, laboratori al biennio sui temi dell’ambiente e della sostenibilità, incontri con rappresentanti delle istituzioni sui problemi di governo della città, fino agli </w:t>
      </w:r>
      <w:r w:rsidRPr="005E7218">
        <w:rPr>
          <w:rFonts w:ascii="Times New Roman" w:hAnsi="Times New Roman" w:cs="Times New Roman"/>
          <w:u w:val="single"/>
        </w:rPr>
        <w:t>stage formativi</w:t>
      </w:r>
      <w:r w:rsidRPr="005E7218">
        <w:rPr>
          <w:rFonts w:ascii="Times New Roman" w:hAnsi="Times New Roman" w:cs="Times New Roman"/>
        </w:rPr>
        <w:t xml:space="preserve">. Qui non apro il problema, ma osservo che oggi di un’esperienza preziosa che era stata fatta nelle nostre scuole sta passando un’immagine alterata, </w:t>
      </w:r>
      <w:r w:rsidR="00C51713" w:rsidRPr="005E7218">
        <w:rPr>
          <w:rFonts w:ascii="Times New Roman" w:hAnsi="Times New Roman" w:cs="Times New Roman"/>
        </w:rPr>
        <w:t xml:space="preserve"> negativa che tradisce le ottime ragioni che dovrebbero stare alla base di un rapporto tra scuola e mondi fuori della scuola. Nel libro si trovano parecchi contributi al proposito. Io voglio comunque qui sottolineare l’importanza per la scuola di </w:t>
      </w:r>
      <w:r w:rsidR="00C51713" w:rsidRPr="005E7218">
        <w:rPr>
          <w:rFonts w:ascii="Times New Roman" w:hAnsi="Times New Roman" w:cs="Times New Roman"/>
          <w:u w:val="single"/>
        </w:rPr>
        <w:t>stare sulla soglia</w:t>
      </w:r>
      <w:r w:rsidR="00C51713" w:rsidRPr="005E7218">
        <w:rPr>
          <w:rFonts w:ascii="Times New Roman" w:hAnsi="Times New Roman" w:cs="Times New Roman"/>
        </w:rPr>
        <w:t xml:space="preserve"> (titolo di un nostro convegno tenuto a Trieste) In queste situazioni i giovani sperimentano se stessi nella loro capacità di ‘</w:t>
      </w:r>
      <w:r w:rsidR="00C51713" w:rsidRPr="005E7218">
        <w:rPr>
          <w:rFonts w:ascii="Times New Roman" w:hAnsi="Times New Roman" w:cs="Times New Roman"/>
          <w:u w:val="single"/>
        </w:rPr>
        <w:t>stare nel mondo’., acquisiscono ‘competenze di cittadinanza’.</w:t>
      </w:r>
    </w:p>
    <w:p w:rsidR="007B5538" w:rsidRDefault="007B5538" w:rsidP="001B223F">
      <w:pPr>
        <w:pStyle w:val="Paragrafoelenco"/>
        <w:rPr>
          <w:rFonts w:ascii="Times New Roman" w:hAnsi="Times New Roman" w:cs="Times New Roman"/>
          <w:u w:val="single"/>
        </w:rPr>
      </w:pPr>
    </w:p>
    <w:p w:rsidR="007B5538" w:rsidRDefault="007B5538" w:rsidP="007B5538">
      <w:pPr>
        <w:pStyle w:val="Paragrafoelenco"/>
        <w:numPr>
          <w:ilvl w:val="0"/>
          <w:numId w:val="1"/>
        </w:numPr>
        <w:rPr>
          <w:rFonts w:ascii="Times New Roman" w:hAnsi="Times New Roman" w:cs="Times New Roman"/>
          <w:b/>
        </w:rPr>
      </w:pPr>
      <w:r>
        <w:rPr>
          <w:rFonts w:ascii="Times New Roman" w:hAnsi="Times New Roman" w:cs="Times New Roman"/>
          <w:b/>
        </w:rPr>
        <w:t>Il curricolo, i saperi, la didattica: apprendere attivamente</w:t>
      </w:r>
    </w:p>
    <w:p w:rsidR="007B5538" w:rsidRDefault="007B5538" w:rsidP="007B5538">
      <w:pPr>
        <w:pStyle w:val="Paragrafoelenco"/>
        <w:rPr>
          <w:rFonts w:ascii="Times New Roman" w:hAnsi="Times New Roman" w:cs="Times New Roman"/>
        </w:rPr>
      </w:pPr>
    </w:p>
    <w:p w:rsidR="007B5538" w:rsidRPr="00E57D64" w:rsidRDefault="007B5538" w:rsidP="007B5538">
      <w:pPr>
        <w:pStyle w:val="Paragrafoelenco"/>
        <w:numPr>
          <w:ilvl w:val="0"/>
          <w:numId w:val="4"/>
        </w:numPr>
        <w:rPr>
          <w:rFonts w:ascii="Times New Roman" w:hAnsi="Times New Roman" w:cs="Times New Roman"/>
          <w:u w:val="single"/>
        </w:rPr>
      </w:pPr>
      <w:r>
        <w:rPr>
          <w:rFonts w:ascii="Times New Roman" w:hAnsi="Times New Roman" w:cs="Times New Roman"/>
        </w:rPr>
        <w:t xml:space="preserve">Curricolo: necessità di progettare lì’intero quinquennio  calibrando le Indicazioni Nazionali (Non prescrittive) con le scelte sul piano della formazione secondo criteri di gradualità, ricorsività e continuità delle conoscenze, con l’integrazioni fra i saper e le offerte del territorio. Il </w:t>
      </w:r>
      <w:r w:rsidRPr="007B5538">
        <w:rPr>
          <w:rFonts w:ascii="Times New Roman" w:hAnsi="Times New Roman" w:cs="Times New Roman"/>
          <w:u w:val="single"/>
        </w:rPr>
        <w:t>curricolo pur nelle sue linee generali costituisce contesto</w:t>
      </w:r>
      <w:r>
        <w:rPr>
          <w:rFonts w:ascii="Times New Roman" w:hAnsi="Times New Roman" w:cs="Times New Roman"/>
        </w:rPr>
        <w:t xml:space="preserve">, la cornice di senso di ogni segmento formativo e offre a studenti e famiglie una </w:t>
      </w:r>
      <w:r w:rsidRPr="007B5538">
        <w:rPr>
          <w:rFonts w:ascii="Times New Roman" w:hAnsi="Times New Roman" w:cs="Times New Roman"/>
          <w:u w:val="single"/>
        </w:rPr>
        <w:t>mappa su cui orientarsi</w:t>
      </w:r>
      <w:r>
        <w:rPr>
          <w:rFonts w:ascii="Times New Roman" w:hAnsi="Times New Roman" w:cs="Times New Roman"/>
        </w:rPr>
        <w:t xml:space="preserve">. </w:t>
      </w:r>
    </w:p>
    <w:p w:rsidR="00E57D64" w:rsidRPr="00E57D64" w:rsidRDefault="00E57D64" w:rsidP="00E57D64">
      <w:pPr>
        <w:pStyle w:val="Paragrafoelenco"/>
        <w:ind w:left="1080"/>
        <w:rPr>
          <w:rFonts w:ascii="Times New Roman" w:hAnsi="Times New Roman" w:cs="Times New Roman"/>
          <w:b/>
          <w:u w:val="single"/>
        </w:rPr>
      </w:pPr>
      <w:r w:rsidRPr="00E57D64">
        <w:rPr>
          <w:rFonts w:ascii="Times New Roman" w:hAnsi="Times New Roman" w:cs="Times New Roman"/>
          <w:b/>
        </w:rPr>
        <w:t>Chefare?</w:t>
      </w:r>
    </w:p>
    <w:p w:rsidR="00E57D64" w:rsidRDefault="00E57D64" w:rsidP="007B5538">
      <w:pPr>
        <w:pStyle w:val="Paragrafoelenco"/>
        <w:ind w:left="1080"/>
        <w:rPr>
          <w:rFonts w:ascii="Times New Roman" w:hAnsi="Times New Roman" w:cs="Times New Roman"/>
        </w:rPr>
      </w:pPr>
      <w:r w:rsidRPr="00E57D64">
        <w:rPr>
          <w:rFonts w:ascii="Times New Roman" w:hAnsi="Times New Roman" w:cs="Times New Roman"/>
          <w:u w:val="single"/>
        </w:rPr>
        <w:t>Gli insegnanti.</w:t>
      </w:r>
      <w:r>
        <w:rPr>
          <w:rFonts w:ascii="Times New Roman" w:hAnsi="Times New Roman" w:cs="Times New Roman"/>
        </w:rPr>
        <w:t xml:space="preserve">   </w:t>
      </w:r>
      <w:r w:rsidR="007B5538">
        <w:rPr>
          <w:rFonts w:ascii="Times New Roman" w:hAnsi="Times New Roman" w:cs="Times New Roman"/>
        </w:rPr>
        <w:t xml:space="preserve">Sui saperi occorre dare agli studenti (alla Bruner) la struttura logica di ogni disciplina. Cioè il suo modo di leggere e ordinare il mondo (non possiamo farci guidare dall’indice dei manuali) La professionalità dell’insegnante si misura su questo e inoltre sulla </w:t>
      </w:r>
      <w:r w:rsidR="007B5538" w:rsidRPr="00632271">
        <w:rPr>
          <w:rFonts w:ascii="Times New Roman" w:hAnsi="Times New Roman" w:cs="Times New Roman"/>
          <w:u w:val="single"/>
        </w:rPr>
        <w:t>capacità di mettere in comune</w:t>
      </w:r>
      <w:r w:rsidRPr="00632271">
        <w:rPr>
          <w:rFonts w:ascii="Times New Roman" w:hAnsi="Times New Roman" w:cs="Times New Roman"/>
          <w:u w:val="single"/>
        </w:rPr>
        <w:t xml:space="preserve"> (NODO IRRISOLTO) </w:t>
      </w:r>
      <w:r w:rsidRPr="00E57D64">
        <w:rPr>
          <w:rFonts w:ascii="Times New Roman" w:hAnsi="Times New Roman" w:cs="Times New Roman"/>
        </w:rPr>
        <w:t>Progettazione a maglie larghe del progetto di classe</w:t>
      </w:r>
      <w:r>
        <w:rPr>
          <w:rFonts w:ascii="Times New Roman" w:hAnsi="Times New Roman" w:cs="Times New Roman"/>
        </w:rPr>
        <w:t xml:space="preserve">, consegnato e condiviso tra insegnanti e con i ragazzi, ma anche con le famiglie e verificato a fine anno, magari in una </w:t>
      </w:r>
      <w:r w:rsidRPr="00E57D64">
        <w:rPr>
          <w:rFonts w:ascii="Times New Roman" w:hAnsi="Times New Roman" w:cs="Times New Roman"/>
          <w:u w:val="single"/>
        </w:rPr>
        <w:t>festa della didattica</w:t>
      </w:r>
      <w:r>
        <w:rPr>
          <w:rFonts w:ascii="Times New Roman" w:hAnsi="Times New Roman" w:cs="Times New Roman"/>
          <w:u w:val="single"/>
        </w:rPr>
        <w:t>.</w:t>
      </w:r>
      <w:r w:rsidRPr="00E57D64">
        <w:rPr>
          <w:rFonts w:ascii="Times New Roman" w:hAnsi="Times New Roman" w:cs="Times New Roman"/>
        </w:rPr>
        <w:t xml:space="preserve">  </w:t>
      </w:r>
    </w:p>
    <w:p w:rsidR="007B5538" w:rsidRDefault="00E57D64" w:rsidP="007B5538">
      <w:pPr>
        <w:pStyle w:val="Paragrafoelenco"/>
        <w:ind w:left="1080"/>
        <w:rPr>
          <w:rFonts w:ascii="Times New Roman" w:hAnsi="Times New Roman" w:cs="Times New Roman"/>
          <w:u w:val="single"/>
        </w:rPr>
      </w:pPr>
      <w:r>
        <w:rPr>
          <w:rFonts w:ascii="Times New Roman" w:hAnsi="Times New Roman" w:cs="Times New Roman"/>
          <w:u w:val="single"/>
        </w:rPr>
        <w:t>Tutoraggio  Metariflessione</w:t>
      </w:r>
    </w:p>
    <w:p w:rsidR="00E57D64" w:rsidRDefault="00E57D64" w:rsidP="007B5538">
      <w:pPr>
        <w:pStyle w:val="Paragrafoelenco"/>
        <w:ind w:left="1080"/>
        <w:rPr>
          <w:rFonts w:ascii="Times New Roman" w:hAnsi="Times New Roman" w:cs="Times New Roman"/>
          <w:u w:val="single"/>
        </w:rPr>
      </w:pPr>
      <w:r>
        <w:rPr>
          <w:rFonts w:ascii="Times New Roman" w:hAnsi="Times New Roman" w:cs="Times New Roman"/>
          <w:u w:val="single"/>
        </w:rPr>
        <w:t>Gli studenti</w:t>
      </w:r>
      <w:r>
        <w:rPr>
          <w:rFonts w:ascii="Times New Roman" w:hAnsi="Times New Roman" w:cs="Times New Roman"/>
        </w:rPr>
        <w:t xml:space="preserve">  ridurre i tempi della lezione frontale per </w:t>
      </w:r>
      <w:r w:rsidRPr="00E57D64">
        <w:rPr>
          <w:rFonts w:ascii="Times New Roman" w:hAnsi="Times New Roman" w:cs="Times New Roman"/>
          <w:u w:val="single"/>
        </w:rPr>
        <w:t>un lavoro collaborativo a piccoli gruppi</w:t>
      </w:r>
      <w:r>
        <w:rPr>
          <w:rFonts w:ascii="Times New Roman" w:hAnsi="Times New Roman" w:cs="Times New Roman"/>
          <w:u w:val="single"/>
        </w:rPr>
        <w:t>,</w:t>
      </w:r>
    </w:p>
    <w:p w:rsidR="00DD2AFA" w:rsidRDefault="00DD2AFA" w:rsidP="00E57D64">
      <w:pPr>
        <w:rPr>
          <w:rFonts w:ascii="Times New Roman" w:hAnsi="Times New Roman" w:cs="Times New Roman"/>
          <w:b/>
        </w:rPr>
      </w:pPr>
    </w:p>
    <w:p w:rsidR="00E57D64" w:rsidRDefault="00E57D64" w:rsidP="00E57D64">
      <w:pPr>
        <w:rPr>
          <w:rFonts w:ascii="Times New Roman" w:hAnsi="Times New Roman" w:cs="Times New Roman"/>
          <w:b/>
        </w:rPr>
      </w:pPr>
      <w:r w:rsidRPr="007830D9">
        <w:rPr>
          <w:rFonts w:ascii="Times New Roman" w:hAnsi="Times New Roman" w:cs="Times New Roman"/>
          <w:b/>
        </w:rPr>
        <w:t>3, Crescita e identità, tra stabilità e flessibilità</w:t>
      </w:r>
      <w:r w:rsidR="007830D9" w:rsidRPr="007830D9">
        <w:rPr>
          <w:rFonts w:ascii="Times New Roman" w:hAnsi="Times New Roman" w:cs="Times New Roman"/>
          <w:b/>
        </w:rPr>
        <w:t>. Tra fragilità e speranza</w:t>
      </w:r>
    </w:p>
    <w:p w:rsidR="007830D9" w:rsidRPr="007830D9" w:rsidRDefault="007830D9" w:rsidP="007830D9">
      <w:pPr>
        <w:rPr>
          <w:rStyle w:val="tcorpotesto"/>
          <w:rFonts w:ascii="Times New Roman" w:hAnsi="Times New Roman" w:cs="Times New Roman"/>
        </w:rPr>
      </w:pPr>
      <w:r>
        <w:rPr>
          <w:rFonts w:ascii="Times New Roman" w:hAnsi="Times New Roman" w:cs="Times New Roman"/>
        </w:rPr>
        <w:t xml:space="preserve">La vita quotidiana non prevede riti di passaggio calibrati a seconda delle età, non consente la sperimentazione dei limiti iscritti nei codici simbolici di ogni cultura e non è più in grado di offrire un </w:t>
      </w:r>
      <w:r w:rsidRPr="007830D9">
        <w:rPr>
          <w:rFonts w:ascii="Times New Roman" w:hAnsi="Times New Roman" w:cs="Times New Roman"/>
          <w:b/>
        </w:rPr>
        <w:t xml:space="preserve">contesto protettivo e strutturante che l’età adolescenziale richiederebbe. </w:t>
      </w:r>
      <w:r w:rsidRPr="007830D9">
        <w:rPr>
          <w:rStyle w:val="Enfasigrassetto"/>
          <w:rFonts w:ascii="Times New Roman" w:hAnsi="Times New Roman" w:cs="Times New Roman"/>
          <w:b w:val="0"/>
        </w:rPr>
        <w:t>La scuola deve sottrarsi a questo meccanismo e, senza deliri di onnipotenza,  potrebbe aiutare l’adolescente a riflettere sulle proprie conoscenze ed esperienze e a ricostruirle passo passo in modo da essere pronto a recepire idee nuove con mente aperta. (Bion 1990)</w:t>
      </w:r>
      <w:r w:rsidRPr="007830D9">
        <w:rPr>
          <w:rStyle w:val="Rimandonotaapidipagina"/>
          <w:rFonts w:ascii="Times New Roman" w:hAnsi="Times New Roman" w:cs="Times New Roman"/>
          <w:b/>
        </w:rPr>
        <w:footnoteReference w:id="1"/>
      </w:r>
      <w:r w:rsidRPr="007830D9">
        <w:rPr>
          <w:rStyle w:val="Enfasigrassetto"/>
          <w:rFonts w:ascii="Times New Roman" w:hAnsi="Times New Roman" w:cs="Times New Roman"/>
          <w:b w:val="0"/>
        </w:rPr>
        <w:br/>
        <w:t>Per questo motivo parlavo sopra della necessità di condividere con la classe il senso del progetto generale, del comunicare il coinvolgimento dell’insegnante e del Consiglio di classe nella realizzazione del ‘viaggio’ che si dovrà compiere assieme, nel quale tutti devono remare per portare la barca alla riva o almeno per riuscire a galleggiare in mare aperto,  ognuno secondo le sue possibilità e il suo ruolo (Blumenberg, 1985)</w:t>
      </w:r>
      <w:r w:rsidRPr="007830D9">
        <w:rPr>
          <w:rStyle w:val="Rimandonotaapidipagina"/>
          <w:rFonts w:ascii="Times New Roman" w:hAnsi="Times New Roman" w:cs="Times New Roman"/>
          <w:b/>
        </w:rPr>
        <w:footnoteReference w:id="2"/>
      </w:r>
      <w:r w:rsidRPr="007830D9">
        <w:rPr>
          <w:rStyle w:val="Enfasigrassetto"/>
          <w:rFonts w:ascii="Times New Roman" w:hAnsi="Times New Roman" w:cs="Times New Roman"/>
          <w:b w:val="0"/>
        </w:rPr>
        <w:t xml:space="preserve">.  Bisogna essere consapevoli che l’esterno condiziona fortemente le vite di ognuno e penetra continuamente nella scuola,  un esterno che si presenta spesso pieno di fragilità e di rischi nel quale ci dobbiamo addestrarci a vivere utilizzando il sapere e l’esperienza accumulata  dalla cultura nelle diverse fasi storiche, ma cercando di rivolgere lo sguardo al presente e adattarlo alle nuove sfide. Gli adolescenti portano domande sempre diverse alle quali non si può rispondere  con proposte e routine vecchie e obsolete,  occorre </w:t>
      </w:r>
      <w:r w:rsidRPr="007830D9">
        <w:rPr>
          <w:rStyle w:val="tcorpotesto"/>
          <w:rFonts w:ascii="Times New Roman" w:hAnsi="Times New Roman" w:cs="Times New Roman"/>
          <w:b/>
          <w:i/>
        </w:rPr>
        <w:t>“</w:t>
      </w:r>
      <w:r w:rsidRPr="007830D9">
        <w:rPr>
          <w:rStyle w:val="tcorpotesto"/>
          <w:rFonts w:ascii="Times New Roman" w:hAnsi="Times New Roman" w:cs="Times New Roman"/>
          <w:i/>
        </w:rPr>
        <w:t>aprire vuoti nelle teste, aprire varchi nei discorsi già costituiti, fare spazio, aprire mondi e aperture mai pensate prima”</w:t>
      </w:r>
      <w:r w:rsidRPr="007830D9">
        <w:rPr>
          <w:rStyle w:val="tcorpotesto"/>
          <w:rFonts w:ascii="Times New Roman" w:hAnsi="Times New Roman" w:cs="Times New Roman"/>
        </w:rPr>
        <w:t xml:space="preserve"> (Recalcati, 2014)</w:t>
      </w:r>
      <w:r w:rsidRPr="007830D9">
        <w:rPr>
          <w:rStyle w:val="Rimandonotaapidipagina"/>
          <w:rFonts w:ascii="Times New Roman" w:hAnsi="Times New Roman" w:cs="Times New Roman"/>
        </w:rPr>
        <w:footnoteReference w:id="3"/>
      </w:r>
      <w:r w:rsidRPr="007830D9">
        <w:rPr>
          <w:rStyle w:val="tcorpotesto"/>
          <w:rFonts w:ascii="Times New Roman" w:hAnsi="Times New Roman" w:cs="Times New Roman"/>
        </w:rPr>
        <w:t xml:space="preserve"> e soprattutto occorre contrastare un sentimento diffuso anche tra le giovani generazioni di un futuro come minaccia per il quale non serve sacrificarsi, occorre sviluppare legami e rovesciare il concetto di apprendimento sotto minaccia verso qualcosa di positivo e desiderabile.  “</w:t>
      </w:r>
      <w:r w:rsidRPr="007830D9">
        <w:rPr>
          <w:rStyle w:val="tcorpotesto"/>
          <w:rFonts w:ascii="Times New Roman" w:hAnsi="Times New Roman" w:cs="Times New Roman"/>
          <w:i/>
        </w:rPr>
        <w:t>In conclusione (…) occorre … un po’ di coraggio (…) siamo salpati tutti sulla stessa barca e, nella tempesta, nessuno può salvarsi da solo” .</w:t>
      </w:r>
      <w:r w:rsidRPr="007830D9">
        <w:rPr>
          <w:rStyle w:val="tcorpotesto"/>
          <w:rFonts w:ascii="Times New Roman" w:hAnsi="Times New Roman" w:cs="Times New Roman"/>
        </w:rPr>
        <w:t>(Benasayag e Schmit, 2005)</w:t>
      </w:r>
      <w:r w:rsidRPr="007830D9">
        <w:rPr>
          <w:rStyle w:val="Rimandonotaapidipagina"/>
          <w:rFonts w:ascii="Times New Roman" w:hAnsi="Times New Roman" w:cs="Times New Roman"/>
        </w:rPr>
        <w:footnoteReference w:id="4"/>
      </w:r>
      <w:r>
        <w:rPr>
          <w:rStyle w:val="tcorpotesto"/>
          <w:rFonts w:ascii="Times New Roman" w:hAnsi="Times New Roman" w:cs="Times New Roman"/>
        </w:rPr>
        <w:t xml:space="preserve"> L’epoca delle passioni tristi)</w:t>
      </w:r>
    </w:p>
    <w:p w:rsidR="007830D9" w:rsidRPr="007830D9" w:rsidRDefault="007830D9" w:rsidP="007830D9">
      <w:pPr>
        <w:rPr>
          <w:rFonts w:ascii="Times New Roman" w:hAnsi="Times New Roman" w:cs="Times New Roman"/>
        </w:rPr>
      </w:pPr>
    </w:p>
    <w:p w:rsidR="00E57D64" w:rsidRPr="007830D9" w:rsidRDefault="00E57D64" w:rsidP="007830D9">
      <w:pPr>
        <w:pStyle w:val="Paragrafoelenco"/>
        <w:ind w:left="1080"/>
        <w:rPr>
          <w:rFonts w:ascii="Times New Roman" w:hAnsi="Times New Roman" w:cs="Times New Roman"/>
          <w:u w:val="single"/>
        </w:rPr>
      </w:pPr>
    </w:p>
    <w:p w:rsidR="00E57D64" w:rsidRPr="007830D9" w:rsidRDefault="00E57D64" w:rsidP="007830D9">
      <w:pPr>
        <w:pStyle w:val="Paragrafoelenco"/>
        <w:ind w:left="1080"/>
        <w:rPr>
          <w:rFonts w:ascii="Times New Roman" w:hAnsi="Times New Roman" w:cs="Times New Roman"/>
          <w:u w:val="single"/>
        </w:rPr>
      </w:pPr>
    </w:p>
    <w:p w:rsidR="00C51713" w:rsidRPr="007830D9" w:rsidRDefault="00C51713" w:rsidP="007830D9">
      <w:pPr>
        <w:pStyle w:val="Paragrafoelenco"/>
        <w:rPr>
          <w:rFonts w:cstheme="minorHAnsi"/>
          <w:u w:val="single"/>
        </w:rPr>
      </w:pPr>
    </w:p>
    <w:p w:rsidR="00C51713" w:rsidRPr="007830D9" w:rsidRDefault="00C51713" w:rsidP="001B223F">
      <w:pPr>
        <w:pStyle w:val="Paragrafoelenco"/>
        <w:rPr>
          <w:rFonts w:cstheme="minorHAnsi"/>
        </w:rPr>
      </w:pPr>
    </w:p>
    <w:p w:rsidR="00F35B03" w:rsidRPr="007830D9" w:rsidRDefault="00F35B03">
      <w:pPr>
        <w:rPr>
          <w:rFonts w:cstheme="minorHAnsi"/>
        </w:rPr>
      </w:pPr>
    </w:p>
    <w:sectPr w:rsidR="00F35B03" w:rsidRPr="007830D9" w:rsidSect="002D1E8C">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1826" w:rsidRDefault="00E61826" w:rsidP="007830D9">
      <w:pPr>
        <w:spacing w:after="0" w:line="240" w:lineRule="auto"/>
      </w:pPr>
      <w:r>
        <w:separator/>
      </w:r>
    </w:p>
  </w:endnote>
  <w:endnote w:type="continuationSeparator" w:id="0">
    <w:p w:rsidR="00E61826" w:rsidRDefault="00E61826" w:rsidP="007830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1826" w:rsidRDefault="00E61826" w:rsidP="007830D9">
      <w:pPr>
        <w:spacing w:after="0" w:line="240" w:lineRule="auto"/>
      </w:pPr>
      <w:r>
        <w:separator/>
      </w:r>
    </w:p>
  </w:footnote>
  <w:footnote w:type="continuationSeparator" w:id="0">
    <w:p w:rsidR="00E61826" w:rsidRDefault="00E61826" w:rsidP="007830D9">
      <w:pPr>
        <w:spacing w:after="0" w:line="240" w:lineRule="auto"/>
      </w:pPr>
      <w:r>
        <w:continuationSeparator/>
      </w:r>
    </w:p>
  </w:footnote>
  <w:footnote w:id="1">
    <w:p w:rsidR="007830D9" w:rsidRDefault="007830D9" w:rsidP="007830D9">
      <w:pPr>
        <w:spacing w:line="240" w:lineRule="auto"/>
      </w:pPr>
      <w:r>
        <w:rPr>
          <w:rStyle w:val="Rimandonotaapidipagina"/>
        </w:rPr>
        <w:footnoteRef/>
      </w:r>
      <w:r>
        <w:t xml:space="preserve"> </w:t>
      </w:r>
      <w:r w:rsidRPr="00D23CD7">
        <w:rPr>
          <w:rFonts w:ascii="Times New Roman" w:hAnsi="Times New Roman" w:cs="Times New Roman"/>
          <w:sz w:val="20"/>
          <w:szCs w:val="20"/>
        </w:rPr>
        <w:t>Bion</w:t>
      </w:r>
      <w:r>
        <w:rPr>
          <w:rFonts w:ascii="Times New Roman" w:hAnsi="Times New Roman" w:cs="Times New Roman"/>
          <w:sz w:val="20"/>
          <w:szCs w:val="20"/>
        </w:rPr>
        <w:t xml:space="preserve"> W.B.</w:t>
      </w:r>
      <w:r w:rsidRPr="00D23CD7">
        <w:rPr>
          <w:rFonts w:ascii="Times New Roman" w:hAnsi="Times New Roman" w:cs="Times New Roman"/>
          <w:sz w:val="20"/>
          <w:szCs w:val="20"/>
        </w:rPr>
        <w:t xml:space="preserve">, </w:t>
      </w:r>
      <w:r w:rsidRPr="00D23CD7">
        <w:rPr>
          <w:rFonts w:ascii="Times New Roman" w:hAnsi="Times New Roman" w:cs="Times New Roman"/>
          <w:i/>
          <w:sz w:val="20"/>
          <w:szCs w:val="20"/>
        </w:rPr>
        <w:t>Apprendere dall’esperienza</w:t>
      </w:r>
      <w:r>
        <w:rPr>
          <w:rFonts w:ascii="Times New Roman" w:hAnsi="Times New Roman" w:cs="Times New Roman"/>
          <w:sz w:val="20"/>
          <w:szCs w:val="20"/>
        </w:rPr>
        <w:t xml:space="preserve">, </w:t>
      </w:r>
      <w:r w:rsidRPr="00D23CD7">
        <w:rPr>
          <w:rFonts w:ascii="Times New Roman" w:hAnsi="Times New Roman" w:cs="Times New Roman"/>
          <w:sz w:val="20"/>
          <w:szCs w:val="20"/>
        </w:rPr>
        <w:t xml:space="preserve"> Armando</w:t>
      </w:r>
      <w:r>
        <w:rPr>
          <w:rFonts w:ascii="Times New Roman" w:hAnsi="Times New Roman" w:cs="Times New Roman"/>
          <w:sz w:val="20"/>
          <w:szCs w:val="20"/>
        </w:rPr>
        <w:t>,</w:t>
      </w:r>
      <w:r w:rsidRPr="00D23CD7">
        <w:rPr>
          <w:rFonts w:ascii="Times New Roman" w:hAnsi="Times New Roman" w:cs="Times New Roman"/>
          <w:sz w:val="20"/>
          <w:szCs w:val="20"/>
        </w:rPr>
        <w:t xml:space="preserve"> Roma</w:t>
      </w:r>
      <w:r>
        <w:rPr>
          <w:rFonts w:ascii="Times New Roman" w:hAnsi="Times New Roman" w:cs="Times New Roman"/>
          <w:sz w:val="20"/>
          <w:szCs w:val="20"/>
        </w:rPr>
        <w:t xml:space="preserve"> 1990</w:t>
      </w:r>
    </w:p>
  </w:footnote>
  <w:footnote w:id="2">
    <w:p w:rsidR="007830D9" w:rsidRDefault="007830D9" w:rsidP="007830D9">
      <w:pPr>
        <w:spacing w:line="240" w:lineRule="auto"/>
      </w:pPr>
      <w:r>
        <w:rPr>
          <w:rStyle w:val="Rimandonotaapidipagina"/>
        </w:rPr>
        <w:footnoteRef/>
      </w:r>
      <w:r>
        <w:t xml:space="preserve"> </w:t>
      </w:r>
      <w:r w:rsidRPr="00142517">
        <w:rPr>
          <w:rFonts w:ascii="Times New Roman" w:hAnsi="Times New Roman" w:cs="Times New Roman"/>
          <w:sz w:val="20"/>
          <w:szCs w:val="20"/>
        </w:rPr>
        <w:t>Blumenberg</w:t>
      </w:r>
      <w:r>
        <w:rPr>
          <w:rFonts w:ascii="Times New Roman" w:hAnsi="Times New Roman" w:cs="Times New Roman"/>
          <w:sz w:val="20"/>
          <w:szCs w:val="20"/>
        </w:rPr>
        <w:t xml:space="preserve"> H.</w:t>
      </w:r>
      <w:r w:rsidRPr="00142517">
        <w:rPr>
          <w:rFonts w:ascii="Times New Roman" w:hAnsi="Times New Roman" w:cs="Times New Roman"/>
          <w:sz w:val="20"/>
          <w:szCs w:val="20"/>
        </w:rPr>
        <w:t xml:space="preserve">, </w:t>
      </w:r>
      <w:r w:rsidRPr="00142517">
        <w:rPr>
          <w:rFonts w:ascii="Times New Roman" w:hAnsi="Times New Roman" w:cs="Times New Roman"/>
          <w:i/>
          <w:sz w:val="20"/>
          <w:szCs w:val="20"/>
        </w:rPr>
        <w:t>Naufragio con spettatore. Paradigma di una metafora dell’esistenza</w:t>
      </w:r>
      <w:r w:rsidRPr="00142517">
        <w:rPr>
          <w:rFonts w:ascii="Times New Roman" w:hAnsi="Times New Roman" w:cs="Times New Roman"/>
          <w:sz w:val="20"/>
          <w:szCs w:val="20"/>
        </w:rPr>
        <w:t>, il Mulino</w:t>
      </w:r>
      <w:r>
        <w:rPr>
          <w:rFonts w:ascii="Times New Roman" w:hAnsi="Times New Roman" w:cs="Times New Roman"/>
          <w:sz w:val="20"/>
          <w:szCs w:val="20"/>
        </w:rPr>
        <w:t>,</w:t>
      </w:r>
      <w:r w:rsidRPr="00142517">
        <w:rPr>
          <w:rFonts w:ascii="Times New Roman" w:hAnsi="Times New Roman" w:cs="Times New Roman"/>
          <w:sz w:val="20"/>
          <w:szCs w:val="20"/>
        </w:rPr>
        <w:t xml:space="preserve"> Bologna 1985</w:t>
      </w:r>
    </w:p>
  </w:footnote>
  <w:footnote w:id="3">
    <w:p w:rsidR="007830D9" w:rsidRDefault="007830D9" w:rsidP="007830D9">
      <w:pPr>
        <w:spacing w:line="240" w:lineRule="auto"/>
      </w:pPr>
      <w:r>
        <w:rPr>
          <w:rStyle w:val="Rimandonotaapidipagina"/>
        </w:rPr>
        <w:footnoteRef/>
      </w:r>
      <w:r>
        <w:t xml:space="preserve"> </w:t>
      </w:r>
      <w:r w:rsidRPr="00B47A7B">
        <w:rPr>
          <w:rFonts w:ascii="Times New Roman" w:hAnsi="Times New Roman" w:cs="Times New Roman"/>
          <w:sz w:val="20"/>
          <w:szCs w:val="20"/>
        </w:rPr>
        <w:t>Recalcati</w:t>
      </w:r>
      <w:r>
        <w:rPr>
          <w:rFonts w:ascii="Times New Roman" w:hAnsi="Times New Roman" w:cs="Times New Roman"/>
          <w:sz w:val="20"/>
          <w:szCs w:val="20"/>
        </w:rPr>
        <w:t xml:space="preserve"> M.</w:t>
      </w:r>
      <w:r w:rsidRPr="00B47A7B">
        <w:rPr>
          <w:rFonts w:ascii="Times New Roman" w:hAnsi="Times New Roman" w:cs="Times New Roman"/>
          <w:sz w:val="20"/>
          <w:szCs w:val="20"/>
        </w:rPr>
        <w:t xml:space="preserve">, </w:t>
      </w:r>
      <w:r w:rsidRPr="00B47A7B">
        <w:rPr>
          <w:rFonts w:ascii="Times New Roman" w:hAnsi="Times New Roman" w:cs="Times New Roman"/>
          <w:i/>
          <w:sz w:val="20"/>
          <w:szCs w:val="20"/>
        </w:rPr>
        <w:t>L’ora di lezione. Per un’erotica del desiderio</w:t>
      </w:r>
      <w:r w:rsidRPr="00B47A7B">
        <w:rPr>
          <w:rFonts w:ascii="Times New Roman" w:hAnsi="Times New Roman" w:cs="Times New Roman"/>
          <w:sz w:val="20"/>
          <w:szCs w:val="20"/>
        </w:rPr>
        <w:t>, Einaudi</w:t>
      </w:r>
      <w:r>
        <w:rPr>
          <w:rFonts w:ascii="Times New Roman" w:hAnsi="Times New Roman" w:cs="Times New Roman"/>
          <w:sz w:val="20"/>
          <w:szCs w:val="20"/>
        </w:rPr>
        <w:t>, Torino</w:t>
      </w:r>
      <w:r w:rsidRPr="00B47A7B">
        <w:rPr>
          <w:rFonts w:ascii="Times New Roman" w:hAnsi="Times New Roman" w:cs="Times New Roman"/>
          <w:sz w:val="20"/>
          <w:szCs w:val="20"/>
        </w:rPr>
        <w:t xml:space="preserve"> 2014</w:t>
      </w:r>
    </w:p>
  </w:footnote>
  <w:footnote w:id="4">
    <w:p w:rsidR="007830D9" w:rsidRDefault="007830D9" w:rsidP="007830D9">
      <w:pPr>
        <w:spacing w:line="240" w:lineRule="auto"/>
      </w:pPr>
      <w:r>
        <w:rPr>
          <w:rStyle w:val="Rimandonotaapidipagina"/>
        </w:rPr>
        <w:footnoteRef/>
      </w:r>
      <w:r>
        <w:t xml:space="preserve"> </w:t>
      </w:r>
      <w:r w:rsidRPr="00B47A7B">
        <w:rPr>
          <w:rFonts w:ascii="Times New Roman" w:hAnsi="Times New Roman" w:cs="Times New Roman"/>
          <w:sz w:val="20"/>
          <w:szCs w:val="20"/>
        </w:rPr>
        <w:t xml:space="preserve">Benasayag </w:t>
      </w:r>
      <w:r>
        <w:rPr>
          <w:rFonts w:ascii="Times New Roman" w:hAnsi="Times New Roman" w:cs="Times New Roman"/>
          <w:sz w:val="20"/>
          <w:szCs w:val="20"/>
        </w:rPr>
        <w:t xml:space="preserve">M. e </w:t>
      </w:r>
      <w:r w:rsidRPr="00B47A7B">
        <w:rPr>
          <w:rFonts w:ascii="Times New Roman" w:hAnsi="Times New Roman" w:cs="Times New Roman"/>
          <w:sz w:val="20"/>
          <w:szCs w:val="20"/>
        </w:rPr>
        <w:t xml:space="preserve"> Schmit</w:t>
      </w:r>
      <w:r>
        <w:rPr>
          <w:rFonts w:ascii="Times New Roman" w:hAnsi="Times New Roman" w:cs="Times New Roman"/>
          <w:sz w:val="20"/>
          <w:szCs w:val="20"/>
        </w:rPr>
        <w:t xml:space="preserve"> G.</w:t>
      </w:r>
      <w:r w:rsidRPr="00B47A7B">
        <w:rPr>
          <w:rFonts w:ascii="Times New Roman" w:hAnsi="Times New Roman" w:cs="Times New Roman"/>
          <w:sz w:val="20"/>
          <w:szCs w:val="20"/>
        </w:rPr>
        <w:t xml:space="preserve">, </w:t>
      </w:r>
      <w:r w:rsidRPr="00B47A7B">
        <w:rPr>
          <w:rFonts w:ascii="Times New Roman" w:hAnsi="Times New Roman" w:cs="Times New Roman"/>
          <w:i/>
          <w:sz w:val="20"/>
          <w:szCs w:val="20"/>
        </w:rPr>
        <w:t>L’epoca delle passioni tristi</w:t>
      </w:r>
      <w:r w:rsidRPr="00B47A7B">
        <w:rPr>
          <w:rFonts w:ascii="Times New Roman" w:hAnsi="Times New Roman" w:cs="Times New Roman"/>
          <w:sz w:val="20"/>
          <w:szCs w:val="20"/>
        </w:rPr>
        <w:t>, Feltrinelli, Milano 2005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EE5DB7"/>
    <w:multiLevelType w:val="hybridMultilevel"/>
    <w:tmpl w:val="0C0C7FF8"/>
    <w:lvl w:ilvl="0" w:tplc="CFDE31A2">
      <w:start w:val="1"/>
      <w:numFmt w:val="decimal"/>
      <w:lvlText w:val="%1."/>
      <w:lvlJc w:val="left"/>
      <w:pPr>
        <w:ind w:left="720" w:hanging="360"/>
      </w:pPr>
      <w:rPr>
        <w:rFonts w:asciiTheme="minorHAnsi" w:eastAsiaTheme="minorHAnsi" w:hAnsiTheme="minorHAnsi" w:cstheme="minorHAns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CB102F7"/>
    <w:multiLevelType w:val="hybridMultilevel"/>
    <w:tmpl w:val="4970BEFA"/>
    <w:lvl w:ilvl="0" w:tplc="B2E203E8">
      <w:start w:val="1"/>
      <w:numFmt w:val="lowerLetter"/>
      <w:lvlText w:val="%1."/>
      <w:lvlJc w:val="left"/>
      <w:pPr>
        <w:ind w:left="1080" w:hanging="36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nsid w:val="40054997"/>
    <w:multiLevelType w:val="hybridMultilevel"/>
    <w:tmpl w:val="E69CADDE"/>
    <w:lvl w:ilvl="0" w:tplc="4B64B4CE">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nsid w:val="4EFB4280"/>
    <w:multiLevelType w:val="hybridMultilevel"/>
    <w:tmpl w:val="A6AEDA96"/>
    <w:lvl w:ilvl="0" w:tplc="04100019">
      <w:start w:val="2"/>
      <w:numFmt w:val="lowerLetter"/>
      <w:lvlText w:val="%1."/>
      <w:lvlJc w:val="left"/>
      <w:pPr>
        <w:ind w:left="720" w:hanging="360"/>
      </w:pPr>
      <w:rPr>
        <w:rFonts w:hint="default"/>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1"/>
    <w:footnote w:id="0"/>
  </w:footnotePr>
  <w:endnotePr>
    <w:endnote w:id="-1"/>
    <w:endnote w:id="0"/>
  </w:endnotePr>
  <w:compat/>
  <w:rsids>
    <w:rsidRoot w:val="00630F9B"/>
    <w:rsid w:val="00011B0E"/>
    <w:rsid w:val="00027CE9"/>
    <w:rsid w:val="00105D63"/>
    <w:rsid w:val="001B223F"/>
    <w:rsid w:val="002D1E8C"/>
    <w:rsid w:val="003D5EAF"/>
    <w:rsid w:val="005426FA"/>
    <w:rsid w:val="005764E7"/>
    <w:rsid w:val="005E7218"/>
    <w:rsid w:val="00630F9B"/>
    <w:rsid w:val="00632271"/>
    <w:rsid w:val="006E7CB1"/>
    <w:rsid w:val="007830D9"/>
    <w:rsid w:val="007B5538"/>
    <w:rsid w:val="007B7D7A"/>
    <w:rsid w:val="007D4C05"/>
    <w:rsid w:val="008273F8"/>
    <w:rsid w:val="008E31D8"/>
    <w:rsid w:val="009A2760"/>
    <w:rsid w:val="00B85B61"/>
    <w:rsid w:val="00B91827"/>
    <w:rsid w:val="00C51713"/>
    <w:rsid w:val="00C732ED"/>
    <w:rsid w:val="00DD2AFA"/>
    <w:rsid w:val="00E005D7"/>
    <w:rsid w:val="00E57D64"/>
    <w:rsid w:val="00E61826"/>
    <w:rsid w:val="00F35B0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D1E8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unhideWhenUsed/>
    <w:rsid w:val="009A2760"/>
    <w:pPr>
      <w:spacing w:after="0" w:line="240" w:lineRule="auto"/>
    </w:pPr>
    <w:rPr>
      <w:rFonts w:ascii="Consolas" w:hAnsi="Consolas"/>
      <w:sz w:val="21"/>
      <w:szCs w:val="21"/>
    </w:rPr>
  </w:style>
  <w:style w:type="character" w:customStyle="1" w:styleId="TestonormaleCarattere">
    <w:name w:val="Testo normale Carattere"/>
    <w:basedOn w:val="Carpredefinitoparagrafo"/>
    <w:link w:val="Testonormale"/>
    <w:uiPriority w:val="99"/>
    <w:rsid w:val="009A2760"/>
    <w:rPr>
      <w:rFonts w:ascii="Consolas" w:hAnsi="Consolas"/>
      <w:sz w:val="21"/>
      <w:szCs w:val="21"/>
    </w:rPr>
  </w:style>
  <w:style w:type="paragraph" w:styleId="Paragrafoelenco">
    <w:name w:val="List Paragraph"/>
    <w:basedOn w:val="Normale"/>
    <w:uiPriority w:val="34"/>
    <w:qFormat/>
    <w:rsid w:val="005764E7"/>
    <w:pPr>
      <w:ind w:left="720"/>
      <w:contextualSpacing/>
    </w:pPr>
  </w:style>
  <w:style w:type="character" w:styleId="Rimandonotaapidipagina">
    <w:name w:val="footnote reference"/>
    <w:basedOn w:val="Carpredefinitoparagrafo"/>
    <w:semiHidden/>
    <w:rsid w:val="007830D9"/>
    <w:rPr>
      <w:vertAlign w:val="superscript"/>
    </w:rPr>
  </w:style>
  <w:style w:type="character" w:styleId="Enfasigrassetto">
    <w:name w:val="Strong"/>
    <w:basedOn w:val="Carpredefinitoparagrafo"/>
    <w:qFormat/>
    <w:rsid w:val="007830D9"/>
    <w:rPr>
      <w:b/>
      <w:bCs/>
    </w:rPr>
  </w:style>
  <w:style w:type="character" w:customStyle="1" w:styleId="tcorpotesto">
    <w:name w:val="tcorpotesto"/>
    <w:basedOn w:val="Carpredefinitoparagrafo"/>
    <w:rsid w:val="007830D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24CDAE-F1F3-41B0-B90E-67350328D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1496</Words>
  <Characters>8532</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dc:creator>
  <cp:lastModifiedBy>Utente</cp:lastModifiedBy>
  <cp:revision>2</cp:revision>
  <cp:lastPrinted>2017-03-31T16:16:00Z</cp:lastPrinted>
  <dcterms:created xsi:type="dcterms:W3CDTF">2017-04-18T08:12:00Z</dcterms:created>
  <dcterms:modified xsi:type="dcterms:W3CDTF">2017-04-18T08:12:00Z</dcterms:modified>
</cp:coreProperties>
</file>